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CE6" w:rsidRPr="0026059F" w:rsidRDefault="00E35CE6" w:rsidP="00E35CE6">
      <w:pPr>
        <w:pStyle w:val="Heading1"/>
        <w:numPr>
          <w:ilvl w:val="0"/>
          <w:numId w:val="4"/>
        </w:numPr>
        <w:pBdr>
          <w:bottom w:val="single" w:sz="4" w:space="1" w:color="auto"/>
        </w:pBdr>
        <w:spacing w:line="276" w:lineRule="auto"/>
        <w:jc w:val="both"/>
        <w:rPr>
          <w:rFonts w:ascii="TheSansOffice" w:hAnsi="TheSansOffice"/>
          <w:b w:val="0"/>
          <w:bCs w:val="0"/>
          <w:sz w:val="18"/>
          <w:szCs w:val="18"/>
        </w:rPr>
      </w:pPr>
      <w:bookmarkStart w:id="0" w:name="_GoBack"/>
      <w:r>
        <w:rPr>
          <w:rFonts w:ascii="TheSansOffice" w:hAnsi="TheSansOffice"/>
          <w:sz w:val="18"/>
          <w:szCs w:val="18"/>
        </w:rPr>
        <w:t xml:space="preserve">THE ORGANISATION AND OUR </w:t>
      </w:r>
      <w:r w:rsidRPr="0026059F">
        <w:rPr>
          <w:rFonts w:ascii="TheSansOffice" w:hAnsi="TheSansOffice"/>
          <w:sz w:val="18"/>
          <w:szCs w:val="18"/>
        </w:rPr>
        <w:t>MISSION</w:t>
      </w:r>
    </w:p>
    <w:p w:rsidR="002E4624" w:rsidRDefault="002E4624" w:rsidP="00E35CE6">
      <w:pPr>
        <w:spacing w:line="276" w:lineRule="auto"/>
        <w:jc w:val="both"/>
        <w:rPr>
          <w:rFonts w:ascii="TheSansOffice" w:hAnsi="TheSansOffice"/>
          <w:sz w:val="18"/>
          <w:szCs w:val="18"/>
        </w:rPr>
      </w:pPr>
    </w:p>
    <w:p w:rsidR="00E35CE6" w:rsidRDefault="00E35CE6" w:rsidP="00E35CE6">
      <w:pPr>
        <w:spacing w:line="276" w:lineRule="auto"/>
        <w:jc w:val="both"/>
        <w:rPr>
          <w:rFonts w:ascii="TheSansOffice" w:hAnsi="TheSansOffice"/>
          <w:sz w:val="18"/>
          <w:szCs w:val="18"/>
        </w:rPr>
      </w:pPr>
      <w:r w:rsidRPr="00290276">
        <w:rPr>
          <w:rFonts w:ascii="TheSansOffice" w:hAnsi="TheSansOffice"/>
          <w:sz w:val="18"/>
          <w:szCs w:val="18"/>
        </w:rPr>
        <w:t xml:space="preserve">St Vincent’s Hospital Melbourne (SVHM) is a leading teaching, research and tertiary health service, which employs more than </w:t>
      </w:r>
      <w:r>
        <w:rPr>
          <w:rFonts w:ascii="TheSansOffice" w:hAnsi="TheSansOffice"/>
          <w:sz w:val="18"/>
          <w:szCs w:val="18"/>
        </w:rPr>
        <w:t>6</w:t>
      </w:r>
      <w:r w:rsidRPr="00290276">
        <w:rPr>
          <w:rFonts w:ascii="TheSansOffice" w:hAnsi="TheSansOffice"/>
          <w:sz w:val="18"/>
          <w:szCs w:val="18"/>
        </w:rPr>
        <w:t>,</w:t>
      </w:r>
      <w:r>
        <w:rPr>
          <w:rFonts w:ascii="TheSansOffice" w:hAnsi="TheSansOffice"/>
          <w:sz w:val="18"/>
          <w:szCs w:val="18"/>
        </w:rPr>
        <w:t>500</w:t>
      </w:r>
      <w:r w:rsidRPr="00290276">
        <w:rPr>
          <w:rFonts w:ascii="TheSansOffice" w:hAnsi="TheSansOffice"/>
          <w:sz w:val="18"/>
          <w:szCs w:val="18"/>
        </w:rPr>
        <w:t xml:space="preserve"> staff across 18 sites throughout Melbourne. </w:t>
      </w:r>
    </w:p>
    <w:p w:rsidR="00E35CE6" w:rsidRDefault="00E35CE6" w:rsidP="00E35CE6">
      <w:pPr>
        <w:spacing w:line="276" w:lineRule="auto"/>
        <w:jc w:val="both"/>
        <w:rPr>
          <w:rFonts w:ascii="TheSansOffice" w:hAnsi="TheSansOffice"/>
          <w:sz w:val="18"/>
          <w:szCs w:val="18"/>
        </w:rPr>
      </w:pPr>
    </w:p>
    <w:p w:rsidR="00E35CE6" w:rsidRPr="00290276" w:rsidRDefault="00E35CE6" w:rsidP="00E35CE6">
      <w:pPr>
        <w:spacing w:line="276" w:lineRule="auto"/>
        <w:jc w:val="both"/>
        <w:rPr>
          <w:sz w:val="18"/>
          <w:szCs w:val="18"/>
        </w:rPr>
      </w:pPr>
      <w:r>
        <w:rPr>
          <w:rFonts w:ascii="TheSansOffice" w:hAnsi="TheSansOffice"/>
          <w:sz w:val="18"/>
          <w:szCs w:val="18"/>
        </w:rPr>
        <w:t>P</w:t>
      </w:r>
      <w:r w:rsidRPr="00290276">
        <w:rPr>
          <w:rFonts w:ascii="TheSansOffice" w:hAnsi="TheSansOffice"/>
          <w:sz w:val="18"/>
          <w:szCs w:val="18"/>
        </w:rPr>
        <w:t>art of Australia's largest not-for-profit Catholic health and aged care network, St Vincent's Health Australia</w:t>
      </w:r>
      <w:r>
        <w:rPr>
          <w:rFonts w:ascii="TheSansOffice" w:hAnsi="TheSansOffice"/>
          <w:sz w:val="18"/>
          <w:szCs w:val="18"/>
        </w:rPr>
        <w:t xml:space="preserve">, </w:t>
      </w:r>
      <w:r w:rsidRPr="00290276">
        <w:rPr>
          <w:rFonts w:ascii="TheSansOffice" w:hAnsi="TheSansOffice"/>
          <w:sz w:val="18"/>
          <w:szCs w:val="18"/>
        </w:rPr>
        <w:t xml:space="preserve">SVHM provides a diverse range of adult clinical services including </w:t>
      </w:r>
      <w:r w:rsidR="0032438A">
        <w:rPr>
          <w:rFonts w:ascii="TheSansOffice" w:hAnsi="TheSansOffice"/>
          <w:sz w:val="18"/>
          <w:szCs w:val="18"/>
        </w:rPr>
        <w:t xml:space="preserve">Addiction medicine, </w:t>
      </w:r>
      <w:r w:rsidRPr="00290276">
        <w:rPr>
          <w:rFonts w:ascii="TheSansOffice" w:hAnsi="TheSansOffice"/>
          <w:sz w:val="18"/>
          <w:szCs w:val="18"/>
        </w:rPr>
        <w:t>acute medical and surgical services, sub-acute care, medical diagnostics, rehabilitation, allied health, mental health, palliative care, correctional health and community residential care.</w:t>
      </w:r>
    </w:p>
    <w:p w:rsidR="00E35CE6" w:rsidRPr="00290276" w:rsidRDefault="00E35CE6" w:rsidP="00E35CE6">
      <w:pPr>
        <w:spacing w:line="276" w:lineRule="auto"/>
        <w:jc w:val="both"/>
        <w:rPr>
          <w:sz w:val="18"/>
          <w:szCs w:val="18"/>
        </w:rPr>
      </w:pPr>
      <w:r w:rsidRPr="00290276">
        <w:rPr>
          <w:rFonts w:ascii="TheSansOffice" w:hAnsi="TheSansOffice"/>
          <w:sz w:val="18"/>
          <w:szCs w:val="18"/>
        </w:rPr>
        <w:t> </w:t>
      </w:r>
    </w:p>
    <w:p w:rsidR="00E35CE6" w:rsidRDefault="00E35CE6" w:rsidP="00E35CE6">
      <w:pPr>
        <w:spacing w:line="276" w:lineRule="auto"/>
        <w:jc w:val="both"/>
        <w:rPr>
          <w:rFonts w:ascii="TheSansOffice" w:hAnsi="TheSansOffice"/>
          <w:sz w:val="18"/>
          <w:szCs w:val="18"/>
        </w:rPr>
      </w:pPr>
      <w:r w:rsidRPr="00290276">
        <w:rPr>
          <w:rFonts w:ascii="TheSansOffice" w:hAnsi="TheSansOffice"/>
          <w:sz w:val="18"/>
          <w:szCs w:val="18"/>
        </w:rPr>
        <w:t>SVHM's mission is to provide high quality and efficient health services to the people of Victoria in accordance with the philosophy of St Vincent’s Health Australia.  Th</w:t>
      </w:r>
      <w:r>
        <w:rPr>
          <w:rFonts w:ascii="TheSansOffice" w:hAnsi="TheSansOffice"/>
          <w:sz w:val="18"/>
          <w:szCs w:val="18"/>
        </w:rPr>
        <w:t>is</w:t>
      </w:r>
      <w:r w:rsidRPr="00290276">
        <w:rPr>
          <w:rFonts w:ascii="TheSansOffice" w:hAnsi="TheSansOffice"/>
          <w:sz w:val="18"/>
          <w:szCs w:val="18"/>
        </w:rPr>
        <w:t xml:space="preserve"> mission is based on the values of compassion, justice, integrity and excellence. </w:t>
      </w:r>
    </w:p>
    <w:p w:rsidR="00330B7D" w:rsidRDefault="00330B7D" w:rsidP="00E35CE6">
      <w:pPr>
        <w:spacing w:line="276" w:lineRule="auto"/>
        <w:jc w:val="both"/>
        <w:rPr>
          <w:rFonts w:ascii="TheSansOffice" w:hAnsi="TheSansOffice"/>
          <w:sz w:val="18"/>
          <w:szCs w:val="18"/>
        </w:rPr>
      </w:pPr>
    </w:p>
    <w:p w:rsidR="00E35CE6" w:rsidRDefault="00E35CE6" w:rsidP="00E35CE6">
      <w:pPr>
        <w:pStyle w:val="Heading1"/>
        <w:numPr>
          <w:ilvl w:val="0"/>
          <w:numId w:val="4"/>
        </w:numPr>
        <w:pBdr>
          <w:bottom w:val="single" w:sz="4" w:space="1" w:color="auto"/>
        </w:pBdr>
        <w:spacing w:line="276" w:lineRule="auto"/>
        <w:jc w:val="both"/>
        <w:rPr>
          <w:rFonts w:ascii="TheSansOffice" w:hAnsi="TheSansOffice"/>
          <w:sz w:val="18"/>
          <w:szCs w:val="18"/>
        </w:rPr>
      </w:pPr>
      <w:r>
        <w:rPr>
          <w:rFonts w:ascii="TheSansOffice" w:hAnsi="TheSansOffice"/>
          <w:sz w:val="18"/>
          <w:szCs w:val="18"/>
        </w:rPr>
        <w:t>KEY POSITION DETAILS</w:t>
      </w:r>
    </w:p>
    <w:tbl>
      <w:tblPr>
        <w:tblStyle w:val="TableGrid"/>
        <w:tblW w:w="871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7"/>
        <w:gridCol w:w="3018"/>
        <w:gridCol w:w="1355"/>
        <w:gridCol w:w="3159"/>
      </w:tblGrid>
      <w:tr w:rsidR="00E35CE6" w:rsidTr="005204B5">
        <w:trPr>
          <w:trHeight w:val="730"/>
        </w:trPr>
        <w:tc>
          <w:tcPr>
            <w:tcW w:w="1187" w:type="dxa"/>
          </w:tcPr>
          <w:p w:rsidR="00E35CE6" w:rsidRDefault="00E35CE6" w:rsidP="005204B5">
            <w:pPr>
              <w:rPr>
                <w:rFonts w:ascii="TheSansOffice" w:hAnsi="TheSansOffice"/>
                <w:b/>
                <w:sz w:val="18"/>
                <w:szCs w:val="18"/>
              </w:rPr>
            </w:pPr>
          </w:p>
          <w:p w:rsidR="00E35CE6" w:rsidRPr="00591849" w:rsidRDefault="00E35CE6" w:rsidP="005204B5">
            <w:pPr>
              <w:rPr>
                <w:rFonts w:ascii="TheSansOffice" w:hAnsi="TheSansOffice"/>
                <w:b/>
                <w:sz w:val="18"/>
                <w:szCs w:val="18"/>
              </w:rPr>
            </w:pPr>
            <w:r w:rsidRPr="00591849">
              <w:rPr>
                <w:rFonts w:ascii="TheSansOffice" w:hAnsi="TheSansOffice"/>
                <w:b/>
                <w:sz w:val="18"/>
                <w:szCs w:val="18"/>
              </w:rPr>
              <w:t>Job Title:</w:t>
            </w:r>
          </w:p>
        </w:tc>
        <w:tc>
          <w:tcPr>
            <w:tcW w:w="3018" w:type="dxa"/>
          </w:tcPr>
          <w:p w:rsidR="00E35CE6" w:rsidRDefault="00E35CE6" w:rsidP="005204B5">
            <w:pPr>
              <w:rPr>
                <w:rFonts w:ascii="TheSansOffice" w:hAnsi="TheSansOffice"/>
                <w:sz w:val="18"/>
                <w:szCs w:val="18"/>
              </w:rPr>
            </w:pPr>
          </w:p>
          <w:p w:rsidR="00E35CE6" w:rsidRPr="00591849" w:rsidRDefault="006253EA" w:rsidP="00831B8A">
            <w:pPr>
              <w:rPr>
                <w:rFonts w:ascii="TheSansOffice" w:hAnsi="TheSansOffice"/>
                <w:sz w:val="18"/>
                <w:szCs w:val="18"/>
              </w:rPr>
            </w:pPr>
            <w:r>
              <w:rPr>
                <w:rFonts w:ascii="TheSansOffice" w:hAnsi="TheSansOffice"/>
                <w:sz w:val="18"/>
                <w:szCs w:val="18"/>
              </w:rPr>
              <w:t>Snr. Clinician</w:t>
            </w:r>
            <w:r w:rsidR="00121A68">
              <w:rPr>
                <w:rFonts w:ascii="TheSansOffice" w:hAnsi="TheSansOffice"/>
                <w:sz w:val="18"/>
                <w:szCs w:val="18"/>
              </w:rPr>
              <w:t xml:space="preserve">, </w:t>
            </w:r>
            <w:r w:rsidR="00831B8A">
              <w:rPr>
                <w:rFonts w:ascii="TheSansOffice" w:hAnsi="TheSansOffice"/>
                <w:sz w:val="18"/>
                <w:szCs w:val="18"/>
              </w:rPr>
              <w:t>DoAM State-wide Addiction Hub</w:t>
            </w:r>
          </w:p>
        </w:tc>
        <w:tc>
          <w:tcPr>
            <w:tcW w:w="1355" w:type="dxa"/>
          </w:tcPr>
          <w:p w:rsidR="00E35CE6" w:rsidRDefault="00E35CE6" w:rsidP="005204B5">
            <w:pPr>
              <w:rPr>
                <w:rFonts w:ascii="TheSansOffice" w:hAnsi="TheSansOffice"/>
                <w:b/>
                <w:sz w:val="18"/>
                <w:szCs w:val="18"/>
              </w:rPr>
            </w:pPr>
          </w:p>
          <w:p w:rsidR="00E35CE6" w:rsidRPr="00591849" w:rsidRDefault="00E35CE6" w:rsidP="005204B5">
            <w:pPr>
              <w:rPr>
                <w:rFonts w:ascii="TheSansOffice" w:hAnsi="TheSansOffice"/>
                <w:b/>
                <w:sz w:val="18"/>
                <w:szCs w:val="18"/>
              </w:rPr>
            </w:pPr>
            <w:r w:rsidRPr="00591849">
              <w:rPr>
                <w:rFonts w:ascii="TheSansOffice" w:hAnsi="TheSansOffice"/>
                <w:b/>
                <w:sz w:val="18"/>
                <w:szCs w:val="18"/>
              </w:rPr>
              <w:t>Reports to:</w:t>
            </w:r>
          </w:p>
        </w:tc>
        <w:tc>
          <w:tcPr>
            <w:tcW w:w="3159" w:type="dxa"/>
          </w:tcPr>
          <w:p w:rsidR="00E35CE6" w:rsidRDefault="00E35CE6" w:rsidP="005204B5">
            <w:pPr>
              <w:rPr>
                <w:rFonts w:ascii="TheSansOffice" w:hAnsi="TheSansOffice"/>
                <w:sz w:val="18"/>
                <w:szCs w:val="18"/>
              </w:rPr>
            </w:pPr>
          </w:p>
          <w:p w:rsidR="00E35CE6" w:rsidRPr="00591849" w:rsidRDefault="00831B8A" w:rsidP="005204B5">
            <w:pPr>
              <w:rPr>
                <w:rFonts w:ascii="TheSansOffice" w:hAnsi="TheSansOffice"/>
                <w:sz w:val="18"/>
                <w:szCs w:val="18"/>
              </w:rPr>
            </w:pPr>
            <w:r>
              <w:rPr>
                <w:rFonts w:ascii="TheSansOffice" w:hAnsi="TheSansOffice"/>
                <w:sz w:val="18"/>
                <w:szCs w:val="18"/>
              </w:rPr>
              <w:t>DoAM  Director &amp; Manager</w:t>
            </w:r>
          </w:p>
          <w:p w:rsidR="00E35CE6" w:rsidRPr="00591849" w:rsidRDefault="00E35CE6" w:rsidP="005204B5">
            <w:pPr>
              <w:rPr>
                <w:rFonts w:ascii="TheSansOffice" w:hAnsi="TheSansOffice"/>
                <w:sz w:val="18"/>
                <w:szCs w:val="18"/>
              </w:rPr>
            </w:pPr>
          </w:p>
        </w:tc>
      </w:tr>
      <w:tr w:rsidR="00E35CE6" w:rsidTr="005204B5">
        <w:trPr>
          <w:trHeight w:val="713"/>
        </w:trPr>
        <w:tc>
          <w:tcPr>
            <w:tcW w:w="1187" w:type="dxa"/>
            <w:tcBorders>
              <w:bottom w:val="nil"/>
            </w:tcBorders>
          </w:tcPr>
          <w:p w:rsidR="00E35CE6" w:rsidRPr="00591849" w:rsidRDefault="00E35CE6" w:rsidP="005204B5">
            <w:pPr>
              <w:rPr>
                <w:rFonts w:ascii="TheSansOffice" w:hAnsi="TheSansOffice"/>
                <w:b/>
                <w:sz w:val="18"/>
                <w:szCs w:val="18"/>
              </w:rPr>
            </w:pPr>
            <w:r w:rsidRPr="00591849">
              <w:rPr>
                <w:rFonts w:ascii="TheSansOffice" w:hAnsi="TheSansOffice"/>
                <w:b/>
                <w:sz w:val="18"/>
                <w:szCs w:val="18"/>
              </w:rPr>
              <w:t>Program:</w:t>
            </w:r>
          </w:p>
        </w:tc>
        <w:tc>
          <w:tcPr>
            <w:tcW w:w="3018" w:type="dxa"/>
            <w:tcBorders>
              <w:bottom w:val="nil"/>
            </w:tcBorders>
          </w:tcPr>
          <w:p w:rsidR="00E35CE6" w:rsidRPr="00591849" w:rsidRDefault="00E35CE6" w:rsidP="005204B5">
            <w:pPr>
              <w:rPr>
                <w:rFonts w:ascii="TheSansOffice" w:hAnsi="TheSansOffice"/>
                <w:sz w:val="18"/>
                <w:szCs w:val="18"/>
              </w:rPr>
            </w:pPr>
            <w:r>
              <w:rPr>
                <w:rFonts w:ascii="TheSansOffice" w:hAnsi="TheSansOffice"/>
                <w:sz w:val="18"/>
                <w:szCs w:val="18"/>
              </w:rPr>
              <w:t>Integrated Care Services</w:t>
            </w:r>
          </w:p>
        </w:tc>
        <w:tc>
          <w:tcPr>
            <w:tcW w:w="1355" w:type="dxa"/>
            <w:tcBorders>
              <w:bottom w:val="nil"/>
            </w:tcBorders>
          </w:tcPr>
          <w:p w:rsidR="00E35CE6" w:rsidRPr="00591849" w:rsidRDefault="00E35CE6" w:rsidP="005204B5">
            <w:pPr>
              <w:rPr>
                <w:rFonts w:ascii="TheSansOffice" w:hAnsi="TheSansOffice"/>
                <w:b/>
                <w:sz w:val="18"/>
                <w:szCs w:val="18"/>
              </w:rPr>
            </w:pPr>
            <w:r w:rsidRPr="00591849">
              <w:rPr>
                <w:rFonts w:ascii="TheSansOffice" w:hAnsi="TheSansOffice"/>
                <w:b/>
                <w:sz w:val="18"/>
                <w:szCs w:val="18"/>
              </w:rPr>
              <w:t>Department:</w:t>
            </w:r>
          </w:p>
        </w:tc>
        <w:tc>
          <w:tcPr>
            <w:tcW w:w="3159" w:type="dxa"/>
            <w:tcBorders>
              <w:bottom w:val="nil"/>
            </w:tcBorders>
          </w:tcPr>
          <w:p w:rsidR="00E35CE6" w:rsidRPr="00591849" w:rsidRDefault="00831B8A" w:rsidP="005204B5">
            <w:pPr>
              <w:rPr>
                <w:rFonts w:ascii="TheSansOffice" w:hAnsi="TheSansOffice"/>
                <w:sz w:val="18"/>
                <w:szCs w:val="18"/>
              </w:rPr>
            </w:pPr>
            <w:r>
              <w:rPr>
                <w:rFonts w:ascii="TheSansOffice" w:hAnsi="TheSansOffice"/>
                <w:sz w:val="18"/>
                <w:szCs w:val="18"/>
              </w:rPr>
              <w:t>Addiction Medicine /</w:t>
            </w:r>
            <w:r w:rsidR="00E35CE6">
              <w:rPr>
                <w:rFonts w:ascii="TheSansOffice" w:hAnsi="TheSansOffice"/>
                <w:sz w:val="18"/>
                <w:szCs w:val="18"/>
              </w:rPr>
              <w:t xml:space="preserve">Mental Health </w:t>
            </w:r>
          </w:p>
        </w:tc>
      </w:tr>
      <w:tr w:rsidR="00E35CE6" w:rsidTr="005204B5">
        <w:trPr>
          <w:trHeight w:val="747"/>
        </w:trPr>
        <w:tc>
          <w:tcPr>
            <w:tcW w:w="1187" w:type="dxa"/>
            <w:tcBorders>
              <w:bottom w:val="nil"/>
            </w:tcBorders>
          </w:tcPr>
          <w:p w:rsidR="00E35CE6" w:rsidRPr="00591849" w:rsidRDefault="00E35CE6" w:rsidP="005204B5">
            <w:pPr>
              <w:rPr>
                <w:rFonts w:ascii="TheSansOffice" w:hAnsi="TheSansOffice"/>
                <w:b/>
                <w:sz w:val="18"/>
                <w:szCs w:val="18"/>
              </w:rPr>
            </w:pPr>
            <w:r w:rsidRPr="00591849">
              <w:rPr>
                <w:rFonts w:ascii="TheSansOffice" w:hAnsi="TheSansOffice"/>
                <w:b/>
                <w:sz w:val="18"/>
                <w:szCs w:val="18"/>
              </w:rPr>
              <w:t>Industrial Agreement</w:t>
            </w:r>
            <w:r>
              <w:rPr>
                <w:rFonts w:ascii="TheSansOffice" w:hAnsi="TheSansOffice"/>
                <w:b/>
                <w:sz w:val="18"/>
                <w:szCs w:val="18"/>
              </w:rPr>
              <w:t>:</w:t>
            </w:r>
          </w:p>
        </w:tc>
        <w:tc>
          <w:tcPr>
            <w:tcW w:w="3018" w:type="dxa"/>
            <w:tcBorders>
              <w:bottom w:val="nil"/>
            </w:tcBorders>
          </w:tcPr>
          <w:p w:rsidR="00E35CE6" w:rsidRPr="00591849" w:rsidRDefault="00E35CE6" w:rsidP="005204B5">
            <w:pPr>
              <w:rPr>
                <w:rFonts w:ascii="TheSansOffice" w:hAnsi="TheSansOffice"/>
                <w:sz w:val="18"/>
                <w:szCs w:val="18"/>
              </w:rPr>
            </w:pPr>
            <w:r w:rsidRPr="001E4A80">
              <w:rPr>
                <w:rFonts w:ascii="TheSansOffice" w:hAnsi="TheSansOffice"/>
                <w:sz w:val="18"/>
                <w:szCs w:val="18"/>
              </w:rPr>
              <w:t xml:space="preserve">Victorian Public Mental Health Services </w:t>
            </w:r>
            <w:r>
              <w:rPr>
                <w:rFonts w:ascii="TheSansOffice" w:hAnsi="TheSansOffice"/>
                <w:sz w:val="18"/>
                <w:szCs w:val="18"/>
              </w:rPr>
              <w:t>Enterprise Agreement 2016-2020 or its successor</w:t>
            </w:r>
          </w:p>
        </w:tc>
        <w:tc>
          <w:tcPr>
            <w:tcW w:w="1355" w:type="dxa"/>
            <w:tcBorders>
              <w:bottom w:val="nil"/>
            </w:tcBorders>
          </w:tcPr>
          <w:p w:rsidR="00E35CE6" w:rsidRDefault="00E35CE6" w:rsidP="005204B5">
            <w:pPr>
              <w:rPr>
                <w:rFonts w:ascii="TheSansOffice" w:hAnsi="TheSansOffice"/>
                <w:b/>
                <w:sz w:val="18"/>
                <w:szCs w:val="18"/>
              </w:rPr>
            </w:pPr>
            <w:r w:rsidRPr="00591849">
              <w:rPr>
                <w:rFonts w:ascii="TheSansOffice" w:hAnsi="TheSansOffice"/>
                <w:b/>
                <w:sz w:val="18"/>
                <w:szCs w:val="18"/>
              </w:rPr>
              <w:t>Classification</w:t>
            </w:r>
            <w:r>
              <w:rPr>
                <w:rFonts w:ascii="TheSansOffice" w:hAnsi="TheSansOffice"/>
                <w:b/>
                <w:sz w:val="18"/>
                <w:szCs w:val="18"/>
              </w:rPr>
              <w:t>:</w:t>
            </w:r>
          </w:p>
          <w:p w:rsidR="00E35CE6" w:rsidRDefault="00E35CE6" w:rsidP="005204B5">
            <w:pPr>
              <w:rPr>
                <w:rFonts w:ascii="TheSansOffice" w:hAnsi="TheSansOffice"/>
                <w:b/>
                <w:sz w:val="18"/>
                <w:szCs w:val="18"/>
              </w:rPr>
            </w:pPr>
          </w:p>
          <w:p w:rsidR="00E35CE6" w:rsidRDefault="00E35CE6" w:rsidP="005204B5">
            <w:pPr>
              <w:rPr>
                <w:rFonts w:ascii="TheSansOffice" w:hAnsi="TheSansOffice"/>
                <w:b/>
                <w:sz w:val="18"/>
                <w:szCs w:val="18"/>
              </w:rPr>
            </w:pPr>
          </w:p>
          <w:p w:rsidR="00E35CE6" w:rsidRDefault="00E35CE6" w:rsidP="005204B5">
            <w:pPr>
              <w:rPr>
                <w:rFonts w:ascii="TheSansOffice" w:hAnsi="TheSansOffice"/>
                <w:b/>
                <w:sz w:val="18"/>
                <w:szCs w:val="18"/>
              </w:rPr>
            </w:pPr>
          </w:p>
          <w:p w:rsidR="00E35CE6" w:rsidRPr="00421311" w:rsidRDefault="00E35CE6" w:rsidP="005204B5">
            <w:pPr>
              <w:rPr>
                <w:rFonts w:ascii="TheSansOffice" w:hAnsi="TheSansOffice"/>
                <w:b/>
                <w:sz w:val="18"/>
                <w:szCs w:val="18"/>
              </w:rPr>
            </w:pPr>
            <w:r w:rsidRPr="003A5986">
              <w:rPr>
                <w:rFonts w:ascii="TheSansOffice" w:hAnsi="TheSansOffice"/>
                <w:b/>
                <w:sz w:val="18"/>
                <w:szCs w:val="18"/>
              </w:rPr>
              <w:t>Risk Category:</w:t>
            </w:r>
          </w:p>
        </w:tc>
        <w:tc>
          <w:tcPr>
            <w:tcW w:w="3159" w:type="dxa"/>
            <w:tcBorders>
              <w:bottom w:val="nil"/>
            </w:tcBorders>
          </w:tcPr>
          <w:p w:rsidR="00E35CE6" w:rsidRDefault="00E35CE6" w:rsidP="005204B5">
            <w:pPr>
              <w:rPr>
                <w:rFonts w:ascii="TheSansOffice" w:hAnsi="TheSansOffice" w:cs="Tahoma"/>
                <w:sz w:val="18"/>
                <w:szCs w:val="18"/>
              </w:rPr>
            </w:pPr>
            <w:r w:rsidRPr="001E4A80">
              <w:rPr>
                <w:rFonts w:ascii="TheSansOffice" w:hAnsi="TheSansOffice" w:cs="Tahoma"/>
                <w:sz w:val="18"/>
                <w:szCs w:val="18"/>
              </w:rPr>
              <w:t>Grade 4</w:t>
            </w:r>
            <w:r w:rsidR="006253EA">
              <w:rPr>
                <w:rFonts w:ascii="TheSansOffice" w:hAnsi="TheSansOffice" w:cs="Tahoma"/>
                <w:sz w:val="18"/>
                <w:szCs w:val="18"/>
              </w:rPr>
              <w:t xml:space="preserve"> Allied Health/RPN 4B</w:t>
            </w:r>
            <w:r w:rsidRPr="001E4A80">
              <w:rPr>
                <w:rFonts w:ascii="TheSansOffice" w:hAnsi="TheSansOffice" w:cs="Tahoma"/>
                <w:sz w:val="18"/>
                <w:szCs w:val="18"/>
              </w:rPr>
              <w:t xml:space="preserve"> </w:t>
            </w:r>
          </w:p>
          <w:p w:rsidR="00E35CE6" w:rsidRDefault="00E35CE6" w:rsidP="005204B5">
            <w:pPr>
              <w:rPr>
                <w:rFonts w:ascii="TheSansOffice" w:hAnsi="TheSansOffice" w:cs="Tahoma"/>
                <w:sz w:val="18"/>
                <w:szCs w:val="18"/>
              </w:rPr>
            </w:pPr>
          </w:p>
          <w:p w:rsidR="00E35CE6" w:rsidRDefault="00E35CE6" w:rsidP="005204B5">
            <w:pPr>
              <w:rPr>
                <w:rFonts w:ascii="TheSansOffice" w:hAnsi="TheSansOffice" w:cs="Tahoma"/>
                <w:sz w:val="18"/>
                <w:szCs w:val="18"/>
              </w:rPr>
            </w:pPr>
          </w:p>
          <w:p w:rsidR="00E35CE6" w:rsidRDefault="00E35CE6" w:rsidP="005204B5">
            <w:pPr>
              <w:rPr>
                <w:rFonts w:ascii="TheSansOffice" w:hAnsi="TheSansOffice" w:cs="Tahoma"/>
                <w:sz w:val="18"/>
                <w:szCs w:val="18"/>
              </w:rPr>
            </w:pPr>
          </w:p>
          <w:p w:rsidR="002436C3" w:rsidRPr="002436C3" w:rsidRDefault="00E35CE6" w:rsidP="005204B5">
            <w:pPr>
              <w:rPr>
                <w:rFonts w:ascii="TheSansOffice" w:hAnsi="TheSansOffice" w:cs="Tahoma"/>
                <w:sz w:val="18"/>
                <w:szCs w:val="18"/>
              </w:rPr>
            </w:pPr>
            <w:r>
              <w:rPr>
                <w:rFonts w:ascii="TheSansOffice" w:hAnsi="TheSansOffice" w:cs="Tahoma"/>
                <w:sz w:val="18"/>
                <w:szCs w:val="18"/>
              </w:rPr>
              <w:t>B</w:t>
            </w:r>
          </w:p>
        </w:tc>
      </w:tr>
    </w:tbl>
    <w:p w:rsidR="00E35CE6" w:rsidRPr="00410876" w:rsidRDefault="00E35CE6" w:rsidP="00E35CE6">
      <w:pPr>
        <w:pStyle w:val="Heading1"/>
        <w:numPr>
          <w:ilvl w:val="0"/>
          <w:numId w:val="4"/>
        </w:numPr>
        <w:pBdr>
          <w:bottom w:val="single" w:sz="4" w:space="1" w:color="auto"/>
        </w:pBdr>
        <w:spacing w:line="276" w:lineRule="auto"/>
        <w:jc w:val="both"/>
        <w:rPr>
          <w:rFonts w:ascii="TheSansOffice" w:hAnsi="TheSansOffice"/>
          <w:sz w:val="18"/>
          <w:szCs w:val="18"/>
        </w:rPr>
      </w:pPr>
      <w:r>
        <w:rPr>
          <w:rFonts w:ascii="TheSansOffice" w:hAnsi="TheSansOffice"/>
          <w:sz w:val="18"/>
          <w:szCs w:val="18"/>
        </w:rPr>
        <w:t>LOCAL WORK ENVIRONMENT</w:t>
      </w:r>
    </w:p>
    <w:p w:rsidR="002436C3" w:rsidRDefault="002436C3" w:rsidP="002436C3">
      <w:pPr>
        <w:pStyle w:val="BodyText2"/>
        <w:spacing w:line="240" w:lineRule="auto"/>
        <w:rPr>
          <w:rFonts w:ascii="TheSansOffice" w:hAnsi="TheSansOffice" w:cs="Arial"/>
          <w:sz w:val="18"/>
          <w:szCs w:val="18"/>
        </w:rPr>
      </w:pPr>
    </w:p>
    <w:p w:rsidR="00E35CE6" w:rsidRPr="00330B7D" w:rsidRDefault="0032438A" w:rsidP="002436C3">
      <w:pPr>
        <w:pStyle w:val="BodyText2"/>
        <w:spacing w:line="240" w:lineRule="auto"/>
        <w:rPr>
          <w:rFonts w:ascii="TheSansOffice" w:hAnsi="TheSansOffice" w:cs="Arial"/>
          <w:b/>
          <w:sz w:val="18"/>
          <w:szCs w:val="18"/>
          <w:u w:val="single"/>
        </w:rPr>
      </w:pPr>
      <w:r>
        <w:rPr>
          <w:rFonts w:ascii="TheSansOffice" w:hAnsi="TheSansOffice" w:cs="Arial"/>
          <w:b/>
          <w:sz w:val="18"/>
          <w:szCs w:val="18"/>
          <w:u w:val="single"/>
        </w:rPr>
        <w:t>St. Vincent’s Department of Addiction Medicine (DoAM</w:t>
      </w:r>
      <w:r w:rsidR="00E35CE6" w:rsidRPr="00330B7D">
        <w:rPr>
          <w:rFonts w:ascii="TheSansOffice" w:hAnsi="TheSansOffice" w:cs="Arial"/>
          <w:b/>
          <w:sz w:val="18"/>
          <w:szCs w:val="18"/>
          <w:u w:val="single"/>
        </w:rPr>
        <w:t xml:space="preserve">) </w:t>
      </w:r>
    </w:p>
    <w:p w:rsidR="0032438A" w:rsidRDefault="0032438A" w:rsidP="0032438A">
      <w:pPr>
        <w:rPr>
          <w:rFonts w:ascii="TheSansOffice" w:hAnsi="TheSansOffice" w:cs="Arial"/>
          <w:sz w:val="18"/>
          <w:szCs w:val="18"/>
        </w:rPr>
      </w:pPr>
      <w:r w:rsidRPr="00D247C4">
        <w:rPr>
          <w:rFonts w:ascii="TheSansOffice" w:hAnsi="TheSansOffice" w:cs="Arial"/>
          <w:sz w:val="18"/>
          <w:szCs w:val="18"/>
        </w:rPr>
        <w:t>St.</w:t>
      </w:r>
      <w:r>
        <w:rPr>
          <w:rFonts w:ascii="TheSansOffice" w:hAnsi="TheSansOffice" w:cs="Arial"/>
          <w:sz w:val="18"/>
          <w:szCs w:val="18"/>
        </w:rPr>
        <w:t xml:space="preserve"> </w:t>
      </w:r>
      <w:r w:rsidRPr="00D247C4">
        <w:rPr>
          <w:rFonts w:ascii="TheSansOffice" w:hAnsi="TheSansOffice" w:cs="Arial"/>
          <w:sz w:val="18"/>
          <w:szCs w:val="18"/>
        </w:rPr>
        <w:t>Vincent’s Hospital is a leading teaching, research and tertiary health service which employs over 5,500 staff across 18 sites throughout Melbourne.</w:t>
      </w:r>
      <w:r>
        <w:rPr>
          <w:rFonts w:ascii="TheSansOffice" w:hAnsi="TheSansOffice" w:cs="Arial"/>
          <w:sz w:val="18"/>
          <w:szCs w:val="18"/>
        </w:rPr>
        <w:t xml:space="preserve"> </w:t>
      </w:r>
    </w:p>
    <w:p w:rsidR="0032438A" w:rsidRPr="00D247C4" w:rsidRDefault="0032438A" w:rsidP="0032438A">
      <w:pPr>
        <w:rPr>
          <w:rFonts w:ascii="TheSansOffice" w:hAnsi="TheSansOffice" w:cs="Arial"/>
          <w:sz w:val="18"/>
          <w:szCs w:val="18"/>
        </w:rPr>
      </w:pPr>
    </w:p>
    <w:p w:rsidR="0032438A" w:rsidRPr="008D68AB" w:rsidRDefault="0032438A" w:rsidP="0032438A">
      <w:pPr>
        <w:rPr>
          <w:rFonts w:ascii="TheSansOffice" w:hAnsi="TheSansOffice" w:cs="Arial"/>
          <w:sz w:val="18"/>
          <w:szCs w:val="18"/>
          <w:lang w:val="en-US"/>
        </w:rPr>
      </w:pPr>
      <w:r w:rsidRPr="008D68AB">
        <w:rPr>
          <w:rFonts w:ascii="TheSansOffice" w:hAnsi="TheSansOffice" w:cs="Arial"/>
          <w:sz w:val="18"/>
          <w:szCs w:val="18"/>
          <w:lang w:val="en-US"/>
        </w:rPr>
        <w:t>The Department of Addiction Medicine at St</w:t>
      </w:r>
      <w:r>
        <w:rPr>
          <w:rFonts w:ascii="TheSansOffice" w:hAnsi="TheSansOffice" w:cs="Arial"/>
          <w:sz w:val="18"/>
          <w:szCs w:val="18"/>
          <w:lang w:val="en-US"/>
        </w:rPr>
        <w:t>. Vincent's (which includes Dep</w:t>
      </w:r>
      <w:r w:rsidRPr="008D68AB">
        <w:rPr>
          <w:rFonts w:ascii="TheSansOffice" w:hAnsi="TheSansOffice" w:cs="Arial"/>
          <w:sz w:val="18"/>
          <w:szCs w:val="18"/>
          <w:lang w:val="en-US"/>
        </w:rPr>
        <w:t xml:space="preserve">aul House withdrawal unit) is one of Australia’s leading centers for the medical treatment of drug or alcohol addiction. The work includes direct patient treatment, research, education/training and policy development.  Our multidisciplinary team includes doctors, nurses, social workers and specialist counselors, and our treatment services encompass both acute withdrawal and long term management, using state-of-the-art methods and facilities.   We have a strong culture of education, training and teaching, from undergraduate students to senior clinicians across a wide range of professional disciplines.  </w:t>
      </w:r>
    </w:p>
    <w:p w:rsidR="0032438A" w:rsidRPr="008D68AB" w:rsidRDefault="0032438A" w:rsidP="0032438A">
      <w:pPr>
        <w:rPr>
          <w:rFonts w:ascii="TheSansOffice" w:hAnsi="TheSansOffice" w:cs="Arial"/>
          <w:sz w:val="18"/>
          <w:szCs w:val="18"/>
          <w:lang w:val="en-US"/>
        </w:rPr>
      </w:pPr>
    </w:p>
    <w:p w:rsidR="0032438A" w:rsidRPr="008D68AB" w:rsidRDefault="0032438A" w:rsidP="0032438A">
      <w:pPr>
        <w:rPr>
          <w:rFonts w:ascii="TheSansOffice" w:hAnsi="TheSansOffice" w:cs="Arial"/>
          <w:sz w:val="18"/>
          <w:szCs w:val="18"/>
          <w:lang w:val="en-US"/>
        </w:rPr>
      </w:pPr>
      <w:r w:rsidRPr="008D68AB">
        <w:rPr>
          <w:rFonts w:ascii="TheSansOffice" w:hAnsi="TheSansOffice" w:cs="Arial"/>
          <w:sz w:val="18"/>
          <w:szCs w:val="18"/>
          <w:lang w:val="en-US"/>
        </w:rPr>
        <w:t>Addiction Medicine at St Vincent’s strives to ensure that our clinical knowledge and experience informs public health policy, to achieve a more sophisticated understanding in the community of the nature and treatment of addiction, and to improve the health outcomes for those seeking assistance for drug or alcohol problems.</w:t>
      </w:r>
    </w:p>
    <w:p w:rsidR="002436C3" w:rsidRDefault="002436C3" w:rsidP="00E35CE6">
      <w:pPr>
        <w:pStyle w:val="BodyText2"/>
        <w:spacing w:line="276" w:lineRule="auto"/>
        <w:rPr>
          <w:rFonts w:ascii="TheSansOffice" w:hAnsi="TheSansOffice" w:cs="Arial"/>
          <w:b/>
          <w:i/>
          <w:sz w:val="18"/>
          <w:szCs w:val="18"/>
        </w:rPr>
      </w:pPr>
    </w:p>
    <w:p w:rsidR="002436C3" w:rsidRPr="00330B7D" w:rsidRDefault="00E35CE6" w:rsidP="00E35CE6">
      <w:pPr>
        <w:pStyle w:val="BodyText2"/>
        <w:spacing w:line="276" w:lineRule="auto"/>
        <w:rPr>
          <w:rFonts w:ascii="TheSansOffice" w:hAnsi="TheSansOffice" w:cs="Arial"/>
          <w:b/>
          <w:sz w:val="18"/>
          <w:szCs w:val="18"/>
          <w:u w:val="single"/>
        </w:rPr>
      </w:pPr>
      <w:r w:rsidRPr="00330B7D">
        <w:rPr>
          <w:rFonts w:ascii="TheSansOffice" w:hAnsi="TheSansOffice" w:cs="Arial"/>
          <w:b/>
          <w:sz w:val="18"/>
          <w:szCs w:val="18"/>
          <w:u w:val="single"/>
        </w:rPr>
        <w:t>The Context</w:t>
      </w:r>
    </w:p>
    <w:p w:rsidR="00E35CE6" w:rsidRPr="002436C3" w:rsidRDefault="00E35CE6" w:rsidP="00E35CE6">
      <w:pPr>
        <w:pStyle w:val="BodyText2"/>
        <w:spacing w:line="276" w:lineRule="auto"/>
        <w:rPr>
          <w:rFonts w:ascii="TheSansOffice" w:hAnsi="TheSansOffice" w:cs="Arial"/>
          <w:b/>
          <w:i/>
          <w:sz w:val="18"/>
          <w:szCs w:val="18"/>
        </w:rPr>
      </w:pPr>
      <w:r w:rsidRPr="00E35CE6">
        <w:rPr>
          <w:rFonts w:ascii="TheSansOffice" w:hAnsi="TheSansOffice" w:cs="Arial"/>
          <w:sz w:val="18"/>
          <w:szCs w:val="18"/>
          <w:lang w:eastAsia="en-AU"/>
        </w:rPr>
        <w:t>The final Royal Commission report into Victoria’s Mental Health System was handed down in March 2021, outlining 65 broad reaching recommendations aimed at reforming Victoria’s Mental Health Service.  The recommendations will set the reform agenda which is expect</w:t>
      </w:r>
      <w:r>
        <w:rPr>
          <w:rFonts w:ascii="TheSansOffice" w:hAnsi="TheSansOffice" w:cs="Arial"/>
          <w:sz w:val="18"/>
          <w:szCs w:val="18"/>
          <w:lang w:eastAsia="en-AU"/>
        </w:rPr>
        <w:t xml:space="preserve">ed to span the next 10 years.  </w:t>
      </w:r>
    </w:p>
    <w:p w:rsidR="00E35CE6" w:rsidRPr="00E35CE6" w:rsidRDefault="00E35CE6" w:rsidP="00E35CE6">
      <w:pPr>
        <w:pStyle w:val="BodyText2"/>
        <w:spacing w:line="276" w:lineRule="auto"/>
        <w:rPr>
          <w:rFonts w:ascii="TheSansOffice" w:hAnsi="TheSansOffice" w:cs="Arial"/>
          <w:sz w:val="18"/>
          <w:szCs w:val="18"/>
          <w:lang w:eastAsia="en-AU"/>
        </w:rPr>
      </w:pPr>
      <w:r w:rsidRPr="00E35CE6">
        <w:rPr>
          <w:rFonts w:ascii="TheSansOffice" w:hAnsi="TheSansOffice" w:cs="Arial"/>
          <w:sz w:val="18"/>
          <w:szCs w:val="18"/>
          <w:lang w:eastAsia="en-AU"/>
        </w:rPr>
        <w:t xml:space="preserve">Victoria’s Department of Health (DoH) has outlined </w:t>
      </w:r>
      <w:r w:rsidR="0032438A">
        <w:rPr>
          <w:rFonts w:ascii="TheSansOffice" w:hAnsi="TheSansOffice" w:cs="Arial"/>
          <w:sz w:val="18"/>
          <w:szCs w:val="18"/>
          <w:lang w:eastAsia="en-AU"/>
        </w:rPr>
        <w:t>a number of key reforms which includes the establishment of</w:t>
      </w:r>
      <w:r w:rsidR="0093205A">
        <w:rPr>
          <w:rFonts w:ascii="TheSansOffice" w:hAnsi="TheSansOffice" w:cs="Arial"/>
          <w:sz w:val="18"/>
          <w:szCs w:val="18"/>
          <w:lang w:eastAsia="en-AU"/>
        </w:rPr>
        <w:t xml:space="preserve"> a New State-wide specialist addiction service who will support the MH service system to better care for and support people living with mental ill health and substance use / addiction and related issues. This new State-wide service has commenced with the appointment of Turning Point as the lead agency who will work with three Partner Providers (Hubs). St. Vincent’s DoAM has been identified as one </w:t>
      </w:r>
      <w:r w:rsidR="0093205A">
        <w:rPr>
          <w:rFonts w:ascii="TheSansOffice" w:hAnsi="TheSansOffice" w:cs="Arial"/>
          <w:sz w:val="18"/>
          <w:szCs w:val="18"/>
          <w:lang w:eastAsia="en-AU"/>
        </w:rPr>
        <w:lastRenderedPageBreak/>
        <w:t>of the Partner Providers.</w:t>
      </w:r>
      <w:r w:rsidR="00A173A7">
        <w:rPr>
          <w:rFonts w:ascii="TheSansOffice" w:hAnsi="TheSansOffice" w:cs="Arial"/>
          <w:sz w:val="18"/>
          <w:szCs w:val="18"/>
          <w:lang w:eastAsia="en-AU"/>
        </w:rPr>
        <w:t xml:space="preserve"> The state-wide service and its Partner Providers will be tasked with supporting the </w:t>
      </w:r>
      <w:r w:rsidR="00A23583">
        <w:rPr>
          <w:rFonts w:ascii="TheSansOffice" w:hAnsi="TheSansOffice" w:cs="Arial"/>
          <w:sz w:val="18"/>
          <w:szCs w:val="18"/>
          <w:lang w:eastAsia="en-AU"/>
        </w:rPr>
        <w:t xml:space="preserve">Area </w:t>
      </w:r>
      <w:r w:rsidR="00A173A7">
        <w:rPr>
          <w:rFonts w:ascii="TheSansOffice" w:hAnsi="TheSansOffice" w:cs="Arial"/>
          <w:sz w:val="18"/>
          <w:szCs w:val="18"/>
          <w:lang w:eastAsia="en-AU"/>
        </w:rPr>
        <w:t xml:space="preserve">MH </w:t>
      </w:r>
      <w:r w:rsidR="00A23583">
        <w:rPr>
          <w:rFonts w:ascii="TheSansOffice" w:hAnsi="TheSansOffice" w:cs="Arial"/>
          <w:sz w:val="18"/>
          <w:szCs w:val="18"/>
          <w:lang w:eastAsia="en-AU"/>
        </w:rPr>
        <w:t xml:space="preserve">and </w:t>
      </w:r>
      <w:r w:rsidR="00FE17F1">
        <w:rPr>
          <w:rFonts w:ascii="TheSansOffice" w:hAnsi="TheSansOffice" w:cs="Arial"/>
          <w:sz w:val="18"/>
          <w:szCs w:val="18"/>
          <w:lang w:eastAsia="en-AU"/>
        </w:rPr>
        <w:t>wellbeing</w:t>
      </w:r>
      <w:r w:rsidR="00A23583">
        <w:rPr>
          <w:rFonts w:ascii="TheSansOffice" w:hAnsi="TheSansOffice" w:cs="Arial"/>
          <w:sz w:val="18"/>
          <w:szCs w:val="18"/>
          <w:lang w:eastAsia="en-AU"/>
        </w:rPr>
        <w:t xml:space="preserve"> </w:t>
      </w:r>
      <w:r w:rsidR="00A173A7">
        <w:rPr>
          <w:rFonts w:ascii="TheSansOffice" w:hAnsi="TheSansOffice" w:cs="Arial"/>
          <w:sz w:val="18"/>
          <w:szCs w:val="18"/>
          <w:lang w:eastAsia="en-AU"/>
        </w:rPr>
        <w:t>services</w:t>
      </w:r>
      <w:r w:rsidR="00FE17F1">
        <w:rPr>
          <w:rFonts w:ascii="TheSansOffice" w:hAnsi="TheSansOffice" w:cs="Arial"/>
          <w:sz w:val="18"/>
          <w:szCs w:val="18"/>
          <w:lang w:eastAsia="en-AU"/>
        </w:rPr>
        <w:t xml:space="preserve"> in their area</w:t>
      </w:r>
      <w:r w:rsidR="00A173A7">
        <w:rPr>
          <w:rFonts w:ascii="TheSansOffice" w:hAnsi="TheSansOffice" w:cs="Arial"/>
          <w:sz w:val="18"/>
          <w:szCs w:val="18"/>
          <w:lang w:eastAsia="en-AU"/>
        </w:rPr>
        <w:t xml:space="preserve"> to provide better</w:t>
      </w:r>
    </w:p>
    <w:p w:rsidR="00E35CE6" w:rsidRPr="00E35CE6" w:rsidRDefault="00E35CE6" w:rsidP="00E35CE6">
      <w:pPr>
        <w:pStyle w:val="BodyText2"/>
        <w:numPr>
          <w:ilvl w:val="0"/>
          <w:numId w:val="7"/>
        </w:numPr>
        <w:spacing w:line="276" w:lineRule="auto"/>
        <w:rPr>
          <w:rFonts w:ascii="TheSansOffice" w:hAnsi="TheSansOffice" w:cs="Arial"/>
          <w:sz w:val="18"/>
          <w:szCs w:val="18"/>
          <w:lang w:eastAsia="en-AU"/>
        </w:rPr>
      </w:pPr>
      <w:r w:rsidRPr="00E35CE6">
        <w:rPr>
          <w:rFonts w:ascii="TheSansOffice" w:hAnsi="TheSansOffice" w:cs="Arial"/>
          <w:sz w:val="18"/>
          <w:szCs w:val="18"/>
          <w:lang w:eastAsia="en-AU"/>
        </w:rPr>
        <w:t>Integrated mental health and alcohol and other drugs treatment, care and support for people living with mental illness and substance use or addiction.</w:t>
      </w:r>
    </w:p>
    <w:p w:rsidR="00A23583" w:rsidRDefault="00E35CE6" w:rsidP="00E35CE6">
      <w:pPr>
        <w:pStyle w:val="BodyText2"/>
        <w:spacing w:line="276" w:lineRule="auto"/>
        <w:rPr>
          <w:rFonts w:ascii="TheSansOffice" w:hAnsi="TheSansOffice" w:cs="Arial"/>
          <w:sz w:val="18"/>
          <w:szCs w:val="18"/>
          <w:lang w:eastAsia="en-AU"/>
        </w:rPr>
      </w:pPr>
      <w:r w:rsidRPr="00E35CE6">
        <w:rPr>
          <w:rFonts w:ascii="TheSansOffice" w:hAnsi="TheSansOffice" w:cs="Arial"/>
          <w:sz w:val="18"/>
          <w:szCs w:val="18"/>
          <w:lang w:eastAsia="en-AU"/>
        </w:rPr>
        <w:t xml:space="preserve">Considering the scale, complexity and significance of the reforms, and that many health services may need to recruit or build additional competencies in project and change management, the DoH has provided funding to support implementation in each health service. As a result St Vincent’s Health Melbourne (SVHM) is creating a Team made up of clinical, lived experience and project </w:t>
      </w:r>
      <w:r w:rsidR="00A23583">
        <w:rPr>
          <w:rFonts w:ascii="TheSansOffice" w:hAnsi="TheSansOffice" w:cs="Arial"/>
          <w:sz w:val="18"/>
          <w:szCs w:val="18"/>
          <w:lang w:eastAsia="en-AU"/>
        </w:rPr>
        <w:t>expertise to lead the</w:t>
      </w:r>
      <w:r w:rsidRPr="00E35CE6">
        <w:rPr>
          <w:rFonts w:ascii="TheSansOffice" w:hAnsi="TheSansOffice" w:cs="Arial"/>
          <w:sz w:val="18"/>
          <w:szCs w:val="18"/>
          <w:lang w:eastAsia="en-AU"/>
        </w:rPr>
        <w:t xml:space="preserve"> develop</w:t>
      </w:r>
      <w:r w:rsidR="00FE17F1">
        <w:rPr>
          <w:rFonts w:ascii="TheSansOffice" w:hAnsi="TheSansOffice" w:cs="Arial"/>
          <w:sz w:val="18"/>
          <w:szCs w:val="18"/>
          <w:lang w:eastAsia="en-AU"/>
        </w:rPr>
        <w:t>ment of the St. Vincent’s</w:t>
      </w:r>
      <w:r w:rsidR="00A23583">
        <w:rPr>
          <w:rFonts w:ascii="TheSansOffice" w:hAnsi="TheSansOffice" w:cs="Arial"/>
          <w:sz w:val="18"/>
          <w:szCs w:val="18"/>
          <w:lang w:eastAsia="en-AU"/>
        </w:rPr>
        <w:t xml:space="preserve"> Partner Provider (Hub)</w:t>
      </w:r>
      <w:r w:rsidR="005D67DA">
        <w:rPr>
          <w:rFonts w:ascii="TheSansOffice" w:hAnsi="TheSansOffice" w:cs="Arial"/>
          <w:sz w:val="18"/>
          <w:szCs w:val="18"/>
          <w:lang w:eastAsia="en-AU"/>
        </w:rPr>
        <w:t xml:space="preserve"> – a component part of the new State wide Specialist Addiction service</w:t>
      </w:r>
      <w:r w:rsidR="00FE17F1">
        <w:rPr>
          <w:rFonts w:ascii="TheSansOffice" w:hAnsi="TheSansOffice" w:cs="Arial"/>
          <w:sz w:val="18"/>
          <w:szCs w:val="18"/>
          <w:lang w:eastAsia="en-AU"/>
        </w:rPr>
        <w:t>.</w:t>
      </w:r>
      <w:r w:rsidRPr="00E35CE6">
        <w:rPr>
          <w:rFonts w:ascii="TheSansOffice" w:hAnsi="TheSansOffice" w:cs="Arial"/>
          <w:sz w:val="18"/>
          <w:szCs w:val="18"/>
          <w:lang w:eastAsia="en-AU"/>
        </w:rPr>
        <w:t xml:space="preserve"> </w:t>
      </w:r>
    </w:p>
    <w:p w:rsidR="002E4624" w:rsidRPr="00A44E6C" w:rsidRDefault="002E4624" w:rsidP="00E35CE6">
      <w:pPr>
        <w:pStyle w:val="BodyText2"/>
        <w:spacing w:line="276" w:lineRule="auto"/>
        <w:rPr>
          <w:rFonts w:ascii="TheSansOffice" w:hAnsi="TheSansOffice" w:cs="Arial"/>
          <w:sz w:val="18"/>
          <w:szCs w:val="18"/>
          <w:lang w:eastAsia="en-AU"/>
        </w:rPr>
      </w:pPr>
    </w:p>
    <w:p w:rsidR="00E35CE6" w:rsidRPr="00410876" w:rsidRDefault="00E35CE6" w:rsidP="00E35CE6">
      <w:pPr>
        <w:pStyle w:val="Heading1"/>
        <w:numPr>
          <w:ilvl w:val="0"/>
          <w:numId w:val="4"/>
        </w:numPr>
        <w:pBdr>
          <w:bottom w:val="single" w:sz="4" w:space="1" w:color="auto"/>
        </w:pBdr>
        <w:spacing w:line="276" w:lineRule="auto"/>
        <w:jc w:val="both"/>
        <w:rPr>
          <w:rFonts w:ascii="TheSansOffice" w:hAnsi="TheSansOffice"/>
          <w:sz w:val="18"/>
          <w:szCs w:val="18"/>
        </w:rPr>
      </w:pPr>
      <w:r>
        <w:rPr>
          <w:rFonts w:ascii="TheSansOffice" w:hAnsi="TheSansOffice"/>
          <w:sz w:val="18"/>
          <w:szCs w:val="18"/>
        </w:rPr>
        <w:t>POSITION PURPOSE</w:t>
      </w:r>
    </w:p>
    <w:p w:rsidR="00E35CE6" w:rsidRDefault="00E35CE6" w:rsidP="00E35CE6">
      <w:pPr>
        <w:spacing w:line="276" w:lineRule="auto"/>
        <w:jc w:val="both"/>
        <w:rPr>
          <w:rFonts w:ascii="TheSansOffice" w:hAnsi="TheSansOffice" w:cs="Arial"/>
          <w:i/>
          <w:iCs/>
          <w:color w:val="0066FF"/>
          <w:sz w:val="18"/>
          <w:szCs w:val="18"/>
        </w:rPr>
      </w:pPr>
    </w:p>
    <w:p w:rsidR="00CE0D7C" w:rsidRDefault="00DD3A3A" w:rsidP="00CE0D7C">
      <w:pPr>
        <w:spacing w:line="276" w:lineRule="auto"/>
        <w:jc w:val="both"/>
        <w:rPr>
          <w:rFonts w:ascii="TheSansOffice" w:hAnsi="TheSansOffice" w:cs="Tahoma"/>
          <w:sz w:val="18"/>
          <w:szCs w:val="18"/>
        </w:rPr>
      </w:pPr>
      <w:r>
        <w:rPr>
          <w:rFonts w:ascii="TheSansOffice" w:hAnsi="TheSansOffice" w:cs="Tahoma"/>
          <w:sz w:val="18"/>
          <w:szCs w:val="18"/>
        </w:rPr>
        <w:t>The role of the Snr. Clinician</w:t>
      </w:r>
      <w:r w:rsidR="002436C3" w:rsidRPr="002436C3">
        <w:rPr>
          <w:rFonts w:ascii="TheSansOffice" w:hAnsi="TheSansOffice" w:cs="Tahoma"/>
          <w:sz w:val="18"/>
          <w:szCs w:val="18"/>
        </w:rPr>
        <w:t xml:space="preserve"> is </w:t>
      </w:r>
      <w:r>
        <w:rPr>
          <w:rFonts w:ascii="TheSansOffice" w:hAnsi="TheSansOffice" w:cs="Tahoma"/>
          <w:sz w:val="18"/>
          <w:szCs w:val="18"/>
        </w:rPr>
        <w:t>work</w:t>
      </w:r>
      <w:r w:rsidR="002436C3" w:rsidRPr="002436C3">
        <w:rPr>
          <w:rFonts w:ascii="TheSansOffice" w:hAnsi="TheSansOffice" w:cs="Tahoma"/>
          <w:sz w:val="18"/>
          <w:szCs w:val="18"/>
        </w:rPr>
        <w:t xml:space="preserve"> with </w:t>
      </w:r>
      <w:r w:rsidR="00FE17F1">
        <w:rPr>
          <w:rFonts w:ascii="TheSansOffice" w:hAnsi="TheSansOffice" w:cs="Tahoma"/>
          <w:sz w:val="18"/>
          <w:szCs w:val="18"/>
        </w:rPr>
        <w:t>all key stakeholders including the State-wide lead service, Turning P</w:t>
      </w:r>
      <w:r>
        <w:rPr>
          <w:rFonts w:ascii="TheSansOffice" w:hAnsi="TheSansOffice" w:cs="Tahoma"/>
          <w:sz w:val="18"/>
          <w:szCs w:val="18"/>
        </w:rPr>
        <w:t>oint, the other Partner Hubs but</w:t>
      </w:r>
      <w:r w:rsidR="00FE17F1">
        <w:rPr>
          <w:rFonts w:ascii="TheSansOffice" w:hAnsi="TheSansOffice" w:cs="Tahoma"/>
          <w:sz w:val="18"/>
          <w:szCs w:val="18"/>
        </w:rPr>
        <w:t xml:space="preserve"> in particular the Area MH &amp; Wellbeing services in the designated service area for the St. Vincent’s Partner Providers Hub.</w:t>
      </w:r>
      <w:r w:rsidR="002436C3" w:rsidRPr="002436C3">
        <w:rPr>
          <w:rFonts w:ascii="TheSansOffice" w:hAnsi="TheSansOffice" w:cs="Tahoma"/>
          <w:sz w:val="18"/>
          <w:szCs w:val="18"/>
        </w:rPr>
        <w:t xml:space="preserve"> </w:t>
      </w:r>
      <w:r w:rsidR="00CE0D7C" w:rsidRPr="00CE0D7C">
        <w:rPr>
          <w:rFonts w:ascii="TheSansOffice" w:hAnsi="TheSansOffice" w:cs="Tahoma"/>
          <w:sz w:val="18"/>
          <w:szCs w:val="18"/>
        </w:rPr>
        <w:t xml:space="preserve">This is a </w:t>
      </w:r>
      <w:r w:rsidR="00CE0D7C">
        <w:rPr>
          <w:rFonts w:ascii="TheSansOffice" w:hAnsi="TheSansOffice" w:cs="Tahoma"/>
          <w:sz w:val="18"/>
          <w:szCs w:val="18"/>
        </w:rPr>
        <w:t xml:space="preserve">position of clinical leadership. </w:t>
      </w:r>
      <w:r w:rsidR="00CE0D7C" w:rsidRPr="00CE0D7C">
        <w:rPr>
          <w:rFonts w:ascii="TheSansOffice" w:hAnsi="TheSansOffice" w:cs="Tahoma"/>
          <w:sz w:val="18"/>
          <w:szCs w:val="18"/>
        </w:rPr>
        <w:t xml:space="preserve">The role works in collaboration with the manager, deputy clinical director and other discipline seniors as part of </w:t>
      </w:r>
      <w:r w:rsidR="00CE0D7C">
        <w:rPr>
          <w:rFonts w:ascii="TheSansOffice" w:hAnsi="TheSansOffice" w:cs="Tahoma"/>
          <w:sz w:val="18"/>
          <w:szCs w:val="18"/>
        </w:rPr>
        <w:t xml:space="preserve">DoAM service delivery. </w:t>
      </w:r>
      <w:r w:rsidR="00CE0D7C" w:rsidRPr="00CE0D7C">
        <w:rPr>
          <w:rFonts w:ascii="TheSansOffice" w:hAnsi="TheSansOffice" w:cs="Tahoma"/>
          <w:sz w:val="18"/>
          <w:szCs w:val="18"/>
        </w:rPr>
        <w:t xml:space="preserve">This role is responsible for ensuring client care is provided in accordance with </w:t>
      </w:r>
      <w:r w:rsidR="00CE0D7C">
        <w:rPr>
          <w:rFonts w:ascii="TheSansOffice" w:hAnsi="TheSansOffice" w:cs="Tahoma"/>
          <w:sz w:val="18"/>
          <w:szCs w:val="18"/>
        </w:rPr>
        <w:t xml:space="preserve">evidenced based, research informed integrated care for people with MH &amp; Substance use issues. </w:t>
      </w:r>
    </w:p>
    <w:p w:rsidR="00CE0D7C" w:rsidRPr="00CE0D7C" w:rsidRDefault="00CE0D7C" w:rsidP="00CE0D7C">
      <w:pPr>
        <w:spacing w:line="276" w:lineRule="auto"/>
        <w:jc w:val="both"/>
        <w:rPr>
          <w:rFonts w:ascii="TheSansOffice" w:hAnsi="TheSansOffice" w:cs="Tahoma"/>
          <w:sz w:val="18"/>
          <w:szCs w:val="18"/>
        </w:rPr>
      </w:pPr>
    </w:p>
    <w:p w:rsidR="002436C3" w:rsidRDefault="00CE0D7C" w:rsidP="00CE0D7C">
      <w:pPr>
        <w:spacing w:line="276" w:lineRule="auto"/>
        <w:jc w:val="both"/>
        <w:rPr>
          <w:rFonts w:ascii="TheSansOffice" w:hAnsi="TheSansOffice" w:cs="Tahoma"/>
          <w:sz w:val="18"/>
          <w:szCs w:val="18"/>
        </w:rPr>
      </w:pPr>
      <w:r w:rsidRPr="00CE0D7C">
        <w:rPr>
          <w:rFonts w:ascii="TheSansOffice" w:hAnsi="TheSansOffice" w:cs="Tahoma"/>
          <w:sz w:val="18"/>
          <w:szCs w:val="18"/>
        </w:rPr>
        <w:t xml:space="preserve">This role shall provide leadership to a multi-disciplinary team who provide a range of direct and telehealth clinical services targeting addiction and highly complex mental health presentations. This role will include the provision of supervision, support and management to staff. This role involves being part of the management of effective clinical service delivery. The role will involve holding a clinical load. </w:t>
      </w:r>
    </w:p>
    <w:p w:rsidR="00DD3A3A" w:rsidRPr="002436C3" w:rsidRDefault="00DD3A3A" w:rsidP="002436C3">
      <w:pPr>
        <w:spacing w:line="276" w:lineRule="auto"/>
        <w:jc w:val="both"/>
        <w:rPr>
          <w:rFonts w:ascii="TheSansOffice" w:hAnsi="TheSansOffice" w:cs="Tahoma"/>
          <w:sz w:val="18"/>
          <w:szCs w:val="18"/>
        </w:rPr>
      </w:pPr>
    </w:p>
    <w:p w:rsidR="002436C3" w:rsidRDefault="002436C3" w:rsidP="002436C3">
      <w:pPr>
        <w:spacing w:line="276" w:lineRule="auto"/>
        <w:jc w:val="both"/>
        <w:rPr>
          <w:rFonts w:ascii="TheSansOffice" w:hAnsi="TheSansOffice" w:cs="Tahoma"/>
          <w:sz w:val="18"/>
          <w:szCs w:val="18"/>
        </w:rPr>
      </w:pPr>
      <w:r w:rsidRPr="002436C3">
        <w:rPr>
          <w:rFonts w:ascii="TheSansOffice" w:hAnsi="TheSansOffice" w:cs="Tahoma"/>
          <w:sz w:val="18"/>
          <w:szCs w:val="18"/>
        </w:rPr>
        <w:t xml:space="preserve">This role requires a strategic thinker with demonstrable clinical experience in Public Mental Health Services </w:t>
      </w:r>
      <w:r w:rsidR="00F57E1A">
        <w:rPr>
          <w:rFonts w:ascii="TheSansOffice" w:hAnsi="TheSansOffice" w:cs="Tahoma"/>
          <w:sz w:val="18"/>
          <w:szCs w:val="18"/>
        </w:rPr>
        <w:t xml:space="preserve">and AOD sector </w:t>
      </w:r>
      <w:r w:rsidRPr="002436C3">
        <w:rPr>
          <w:rFonts w:ascii="TheSansOffice" w:hAnsi="TheSansOffice" w:cs="Tahoma"/>
          <w:sz w:val="18"/>
          <w:szCs w:val="18"/>
        </w:rPr>
        <w:t xml:space="preserve">and who understands the key drivers of the Victorian health industry. </w:t>
      </w:r>
    </w:p>
    <w:p w:rsidR="002436C3" w:rsidRPr="002436C3" w:rsidRDefault="002436C3" w:rsidP="002436C3">
      <w:pPr>
        <w:spacing w:line="276" w:lineRule="auto"/>
        <w:jc w:val="both"/>
        <w:rPr>
          <w:rFonts w:ascii="TheSansOffice" w:hAnsi="TheSansOffice" w:cs="Tahoma"/>
          <w:sz w:val="18"/>
          <w:szCs w:val="18"/>
        </w:rPr>
      </w:pPr>
    </w:p>
    <w:p w:rsidR="00E35CE6" w:rsidRDefault="00E35CE6" w:rsidP="00E35CE6">
      <w:pPr>
        <w:pStyle w:val="Heading1"/>
        <w:numPr>
          <w:ilvl w:val="0"/>
          <w:numId w:val="4"/>
        </w:numPr>
        <w:pBdr>
          <w:bottom w:val="single" w:sz="4" w:space="1" w:color="auto"/>
        </w:pBdr>
        <w:spacing w:line="276" w:lineRule="auto"/>
        <w:jc w:val="both"/>
        <w:rPr>
          <w:rFonts w:ascii="TheSansOffice" w:hAnsi="TheSansOffice"/>
          <w:sz w:val="18"/>
          <w:szCs w:val="18"/>
        </w:rPr>
      </w:pPr>
      <w:r>
        <w:rPr>
          <w:rFonts w:ascii="TheSansOffice" w:hAnsi="TheSansOffice"/>
          <w:sz w:val="18"/>
          <w:szCs w:val="18"/>
        </w:rPr>
        <w:t xml:space="preserve">POSITION </w:t>
      </w:r>
      <w:r w:rsidRPr="00E20247">
        <w:rPr>
          <w:rFonts w:ascii="TheSansOffice" w:hAnsi="TheSansOffice"/>
          <w:sz w:val="18"/>
          <w:szCs w:val="18"/>
        </w:rPr>
        <w:t xml:space="preserve">DUTIES </w:t>
      </w:r>
    </w:p>
    <w:p w:rsidR="00CE0D7C" w:rsidRPr="00CE0D7C" w:rsidRDefault="00CE0D7C" w:rsidP="00CE0D7C">
      <w:pPr>
        <w:numPr>
          <w:ilvl w:val="0"/>
          <w:numId w:val="16"/>
        </w:numPr>
        <w:rPr>
          <w:rFonts w:asciiTheme="minorHAnsi" w:hAnsiTheme="minorHAnsi" w:cstheme="minorHAnsi"/>
          <w:sz w:val="20"/>
          <w:szCs w:val="20"/>
          <w:lang w:eastAsia="x-none"/>
        </w:rPr>
      </w:pPr>
      <w:r w:rsidRPr="00CE0D7C">
        <w:rPr>
          <w:rFonts w:asciiTheme="minorHAnsi" w:hAnsiTheme="minorHAnsi" w:cstheme="minorHAnsi"/>
          <w:sz w:val="20"/>
          <w:szCs w:val="20"/>
          <w:lang w:eastAsia="x-none"/>
        </w:rPr>
        <w:t>Participate in the design, implementation and ongoing review and improvement of the Partner Provider Service.</w:t>
      </w:r>
    </w:p>
    <w:p w:rsidR="00CE0D7C" w:rsidRPr="00CE0D7C" w:rsidRDefault="00CE0D7C" w:rsidP="00CE0D7C">
      <w:pPr>
        <w:numPr>
          <w:ilvl w:val="0"/>
          <w:numId w:val="16"/>
        </w:numPr>
        <w:rPr>
          <w:rFonts w:asciiTheme="minorHAnsi" w:hAnsiTheme="minorHAnsi" w:cstheme="minorHAnsi"/>
          <w:sz w:val="20"/>
          <w:szCs w:val="20"/>
          <w:lang w:eastAsia="x-none"/>
        </w:rPr>
      </w:pPr>
      <w:r w:rsidRPr="00CE0D7C">
        <w:rPr>
          <w:rFonts w:asciiTheme="minorHAnsi" w:hAnsiTheme="minorHAnsi" w:cstheme="minorHAnsi"/>
          <w:sz w:val="20"/>
          <w:szCs w:val="20"/>
          <w:lang w:eastAsia="x-none"/>
        </w:rPr>
        <w:t xml:space="preserve">In collaboration with clinical directors and leaders, contribute to the development and implementation of related policies, standards, practice guidelines, models of care, and clinical service provision to support the Partner Provider service and associated services. </w:t>
      </w:r>
    </w:p>
    <w:p w:rsidR="00CE0D7C" w:rsidRPr="00CE0D7C" w:rsidRDefault="00CE0D7C" w:rsidP="00CE0D7C">
      <w:pPr>
        <w:numPr>
          <w:ilvl w:val="0"/>
          <w:numId w:val="16"/>
        </w:numPr>
        <w:rPr>
          <w:rFonts w:asciiTheme="minorHAnsi" w:hAnsiTheme="minorHAnsi" w:cstheme="minorHAnsi"/>
          <w:sz w:val="20"/>
          <w:szCs w:val="20"/>
          <w:lang w:eastAsia="x-none"/>
        </w:rPr>
      </w:pPr>
      <w:r w:rsidRPr="00CE0D7C">
        <w:rPr>
          <w:rFonts w:asciiTheme="minorHAnsi" w:hAnsiTheme="minorHAnsi" w:cstheme="minorHAnsi"/>
          <w:sz w:val="20"/>
          <w:szCs w:val="20"/>
          <w:lang w:eastAsia="x-none"/>
        </w:rPr>
        <w:t xml:space="preserve">Ensure the Partner Providers service meets it core objectives in relation to the provision of expanded primary and secondary consultation services. </w:t>
      </w:r>
    </w:p>
    <w:p w:rsidR="00CE0D7C" w:rsidRPr="00CE0D7C" w:rsidRDefault="00CE0D7C" w:rsidP="00CE0D7C">
      <w:pPr>
        <w:numPr>
          <w:ilvl w:val="0"/>
          <w:numId w:val="16"/>
        </w:numPr>
        <w:rPr>
          <w:rFonts w:asciiTheme="minorHAnsi" w:hAnsiTheme="minorHAnsi" w:cstheme="minorHAnsi"/>
          <w:sz w:val="20"/>
          <w:szCs w:val="20"/>
          <w:lang w:eastAsia="x-none"/>
        </w:rPr>
      </w:pPr>
      <w:r w:rsidRPr="00CE0D7C">
        <w:rPr>
          <w:rFonts w:asciiTheme="minorHAnsi" w:hAnsiTheme="minorHAnsi" w:cstheme="minorHAnsi"/>
          <w:sz w:val="20"/>
          <w:szCs w:val="20"/>
          <w:lang w:eastAsia="x-none"/>
        </w:rPr>
        <w:t>Provide high quality clinical and operational leadership that ensures the day to day activities of the service are carried out in an effective manner;</w:t>
      </w:r>
    </w:p>
    <w:p w:rsidR="00CE0D7C" w:rsidRPr="00CE0D7C" w:rsidRDefault="00CE0D7C" w:rsidP="00CE0D7C">
      <w:pPr>
        <w:numPr>
          <w:ilvl w:val="0"/>
          <w:numId w:val="16"/>
        </w:numPr>
        <w:rPr>
          <w:rFonts w:asciiTheme="minorHAnsi" w:hAnsiTheme="minorHAnsi" w:cstheme="minorHAnsi"/>
          <w:sz w:val="20"/>
          <w:szCs w:val="20"/>
          <w:lang w:eastAsia="x-none"/>
        </w:rPr>
      </w:pPr>
      <w:r w:rsidRPr="00CE0D7C">
        <w:rPr>
          <w:rFonts w:asciiTheme="minorHAnsi" w:hAnsiTheme="minorHAnsi" w:cstheme="minorHAnsi"/>
          <w:sz w:val="20"/>
          <w:szCs w:val="20"/>
          <w:lang w:eastAsia="x-none"/>
        </w:rPr>
        <w:t>Leadership in all aspects of team based activities and functions;</w:t>
      </w:r>
    </w:p>
    <w:p w:rsidR="00CE0D7C" w:rsidRPr="00CE0D7C" w:rsidRDefault="00CE0D7C" w:rsidP="00CE0D7C">
      <w:pPr>
        <w:numPr>
          <w:ilvl w:val="0"/>
          <w:numId w:val="16"/>
        </w:numPr>
        <w:rPr>
          <w:rFonts w:asciiTheme="minorHAnsi" w:hAnsiTheme="minorHAnsi" w:cstheme="minorHAnsi"/>
          <w:sz w:val="20"/>
          <w:szCs w:val="20"/>
          <w:lang w:eastAsia="x-none"/>
        </w:rPr>
      </w:pPr>
      <w:r w:rsidRPr="00CE0D7C">
        <w:rPr>
          <w:rFonts w:asciiTheme="minorHAnsi" w:hAnsiTheme="minorHAnsi" w:cstheme="minorHAnsi"/>
          <w:sz w:val="20"/>
          <w:szCs w:val="20"/>
          <w:lang w:eastAsia="x-none"/>
        </w:rPr>
        <w:t>Ensure clinician case loads are managed in accordance with organisational workflow management expectations;</w:t>
      </w:r>
    </w:p>
    <w:p w:rsidR="00CE0D7C" w:rsidRPr="00CE0D7C" w:rsidRDefault="00CE0D7C" w:rsidP="00CE0D7C">
      <w:pPr>
        <w:numPr>
          <w:ilvl w:val="0"/>
          <w:numId w:val="16"/>
        </w:numPr>
        <w:rPr>
          <w:rFonts w:asciiTheme="minorHAnsi" w:hAnsiTheme="minorHAnsi" w:cstheme="minorHAnsi"/>
          <w:sz w:val="20"/>
          <w:szCs w:val="20"/>
          <w:lang w:eastAsia="x-none"/>
        </w:rPr>
      </w:pPr>
      <w:r w:rsidRPr="00CE0D7C">
        <w:rPr>
          <w:rFonts w:asciiTheme="minorHAnsi" w:hAnsiTheme="minorHAnsi" w:cstheme="minorHAnsi"/>
          <w:sz w:val="20"/>
          <w:szCs w:val="20"/>
          <w:lang w:eastAsia="x-none"/>
        </w:rPr>
        <w:t>Provide guidance to clinicians on appropriate allocation of clients for consultation, assessment and treatment;</w:t>
      </w:r>
    </w:p>
    <w:p w:rsidR="00CE0D7C" w:rsidRPr="00CE0D7C" w:rsidRDefault="00CE0D7C" w:rsidP="00CE0D7C">
      <w:pPr>
        <w:numPr>
          <w:ilvl w:val="0"/>
          <w:numId w:val="16"/>
        </w:numPr>
        <w:rPr>
          <w:rFonts w:asciiTheme="minorHAnsi" w:hAnsiTheme="minorHAnsi" w:cstheme="minorHAnsi"/>
          <w:sz w:val="20"/>
          <w:szCs w:val="20"/>
          <w:lang w:eastAsia="x-none"/>
        </w:rPr>
      </w:pPr>
      <w:r w:rsidRPr="00CE0D7C">
        <w:rPr>
          <w:rFonts w:asciiTheme="minorHAnsi" w:hAnsiTheme="minorHAnsi" w:cstheme="minorHAnsi"/>
          <w:sz w:val="20"/>
          <w:szCs w:val="20"/>
          <w:lang w:eastAsia="x-none"/>
        </w:rPr>
        <w:t>Provide advanced primary and secondary consultation including risk and dual diagnosis, case planning, crisis support, brief interventions and referrals for clients;</w:t>
      </w:r>
    </w:p>
    <w:p w:rsidR="00CE0D7C" w:rsidRPr="00CE0D7C" w:rsidRDefault="00CE0D7C" w:rsidP="00CE0D7C">
      <w:pPr>
        <w:numPr>
          <w:ilvl w:val="0"/>
          <w:numId w:val="16"/>
        </w:numPr>
        <w:rPr>
          <w:rFonts w:asciiTheme="minorHAnsi" w:hAnsiTheme="minorHAnsi" w:cstheme="minorHAnsi"/>
          <w:sz w:val="20"/>
          <w:szCs w:val="20"/>
          <w:lang w:eastAsia="x-none"/>
        </w:rPr>
      </w:pPr>
      <w:r w:rsidRPr="00CE0D7C">
        <w:rPr>
          <w:rFonts w:asciiTheme="minorHAnsi" w:hAnsiTheme="minorHAnsi" w:cstheme="minorHAnsi"/>
          <w:sz w:val="20"/>
          <w:szCs w:val="20"/>
          <w:lang w:eastAsia="x-none"/>
        </w:rPr>
        <w:t>Ensure a high standard of documentation which complies with professional, legislative and organisational standards;</w:t>
      </w:r>
    </w:p>
    <w:p w:rsidR="00CE0D7C" w:rsidRPr="00CE0D7C" w:rsidRDefault="00CE0D7C" w:rsidP="00CE0D7C">
      <w:pPr>
        <w:numPr>
          <w:ilvl w:val="0"/>
          <w:numId w:val="16"/>
        </w:numPr>
        <w:tabs>
          <w:tab w:val="left" w:pos="360"/>
        </w:tabs>
        <w:jc w:val="both"/>
        <w:rPr>
          <w:rFonts w:asciiTheme="minorHAnsi" w:hAnsiTheme="minorHAnsi" w:cstheme="minorHAnsi"/>
          <w:sz w:val="20"/>
          <w:szCs w:val="20"/>
        </w:rPr>
      </w:pPr>
      <w:r w:rsidRPr="00CE0D7C">
        <w:rPr>
          <w:rFonts w:asciiTheme="minorHAnsi" w:hAnsiTheme="minorHAnsi" w:cstheme="minorHAnsi"/>
          <w:sz w:val="20"/>
          <w:szCs w:val="20"/>
          <w:lang w:eastAsia="x-none"/>
        </w:rPr>
        <w:t>Be responsible for coordinating timely data entry and reporting.</w:t>
      </w:r>
    </w:p>
    <w:p w:rsidR="00CE0D7C" w:rsidRPr="00CE0D7C" w:rsidRDefault="00CE0D7C" w:rsidP="00CE0D7C">
      <w:pPr>
        <w:numPr>
          <w:ilvl w:val="0"/>
          <w:numId w:val="16"/>
        </w:numPr>
        <w:tabs>
          <w:tab w:val="left" w:pos="360"/>
        </w:tabs>
        <w:jc w:val="both"/>
        <w:rPr>
          <w:rFonts w:asciiTheme="minorHAnsi" w:hAnsiTheme="minorHAnsi" w:cstheme="minorHAnsi"/>
          <w:sz w:val="20"/>
          <w:szCs w:val="20"/>
        </w:rPr>
      </w:pPr>
      <w:r w:rsidRPr="00CE0D7C">
        <w:rPr>
          <w:rFonts w:asciiTheme="minorHAnsi" w:hAnsiTheme="minorHAnsi" w:cstheme="minorHAnsi"/>
          <w:sz w:val="20"/>
          <w:szCs w:val="20"/>
          <w:lang w:eastAsia="x-none"/>
        </w:rPr>
        <w:t>Contribute and participate in clinical review and case conferences with internal and external services and agencies.</w:t>
      </w:r>
    </w:p>
    <w:p w:rsidR="00CE0D7C" w:rsidRPr="00CE0D7C" w:rsidRDefault="00CE0D7C" w:rsidP="00CE0D7C">
      <w:pPr>
        <w:numPr>
          <w:ilvl w:val="0"/>
          <w:numId w:val="16"/>
        </w:numPr>
        <w:rPr>
          <w:rFonts w:asciiTheme="minorHAnsi" w:hAnsiTheme="minorHAnsi" w:cstheme="minorHAnsi"/>
          <w:sz w:val="20"/>
          <w:szCs w:val="20"/>
          <w:lang w:eastAsia="x-none"/>
        </w:rPr>
      </w:pPr>
      <w:r w:rsidRPr="00CE0D7C">
        <w:rPr>
          <w:rFonts w:asciiTheme="minorHAnsi" w:hAnsiTheme="minorHAnsi" w:cstheme="minorHAnsi"/>
          <w:sz w:val="20"/>
          <w:szCs w:val="20"/>
          <w:lang w:eastAsia="x-none"/>
        </w:rPr>
        <w:t>Promotes a culture of learning support and education to whole of team;</w:t>
      </w:r>
    </w:p>
    <w:p w:rsidR="00CE0D7C" w:rsidRPr="00CE0D7C" w:rsidRDefault="00CE0D7C" w:rsidP="00CE0D7C">
      <w:pPr>
        <w:numPr>
          <w:ilvl w:val="0"/>
          <w:numId w:val="16"/>
        </w:numPr>
        <w:rPr>
          <w:rFonts w:asciiTheme="minorHAnsi" w:hAnsiTheme="minorHAnsi" w:cstheme="minorHAnsi"/>
          <w:sz w:val="20"/>
          <w:szCs w:val="20"/>
          <w:lang w:eastAsia="x-none"/>
        </w:rPr>
      </w:pPr>
      <w:r w:rsidRPr="00CE0D7C">
        <w:rPr>
          <w:rFonts w:asciiTheme="minorHAnsi" w:hAnsiTheme="minorHAnsi" w:cstheme="minorHAnsi"/>
          <w:sz w:val="20"/>
          <w:szCs w:val="20"/>
          <w:lang w:eastAsia="x-none"/>
        </w:rPr>
        <w:t>Drives a culture of professional development within multi-disciplinary team;</w:t>
      </w:r>
    </w:p>
    <w:p w:rsidR="00CE0D7C" w:rsidRPr="00CE0D7C" w:rsidRDefault="00CE0D7C" w:rsidP="00CE0D7C">
      <w:pPr>
        <w:numPr>
          <w:ilvl w:val="0"/>
          <w:numId w:val="16"/>
        </w:numPr>
        <w:rPr>
          <w:rFonts w:asciiTheme="minorHAnsi" w:hAnsiTheme="minorHAnsi" w:cstheme="minorHAnsi"/>
          <w:sz w:val="20"/>
          <w:szCs w:val="20"/>
          <w:lang w:eastAsia="x-none"/>
        </w:rPr>
      </w:pPr>
      <w:r w:rsidRPr="00CE0D7C">
        <w:rPr>
          <w:rFonts w:asciiTheme="minorHAnsi" w:hAnsiTheme="minorHAnsi" w:cstheme="minorHAnsi"/>
          <w:sz w:val="20"/>
          <w:szCs w:val="20"/>
          <w:lang w:eastAsia="x-none"/>
        </w:rPr>
        <w:t>Contributes to the education and supervision of staff and students;</w:t>
      </w:r>
    </w:p>
    <w:p w:rsidR="00CE0D7C" w:rsidRPr="00CE0D7C" w:rsidRDefault="00CE0D7C" w:rsidP="00CE0D7C">
      <w:pPr>
        <w:numPr>
          <w:ilvl w:val="0"/>
          <w:numId w:val="16"/>
        </w:numPr>
        <w:jc w:val="both"/>
        <w:rPr>
          <w:rFonts w:asciiTheme="minorHAnsi" w:hAnsiTheme="minorHAnsi" w:cstheme="minorHAnsi"/>
          <w:sz w:val="20"/>
          <w:szCs w:val="20"/>
          <w:lang w:eastAsia="x-none"/>
        </w:rPr>
      </w:pPr>
      <w:r w:rsidRPr="00CE0D7C">
        <w:rPr>
          <w:rFonts w:asciiTheme="minorHAnsi" w:hAnsiTheme="minorHAnsi" w:cstheme="minorHAnsi"/>
          <w:sz w:val="20"/>
          <w:szCs w:val="20"/>
          <w:lang w:eastAsia="x-none"/>
        </w:rPr>
        <w:lastRenderedPageBreak/>
        <w:t>Participates in workforce development as required;</w:t>
      </w:r>
    </w:p>
    <w:p w:rsidR="00CE0D7C" w:rsidRPr="00CE0D7C" w:rsidRDefault="00CE0D7C" w:rsidP="00CE0D7C">
      <w:pPr>
        <w:numPr>
          <w:ilvl w:val="0"/>
          <w:numId w:val="16"/>
        </w:numPr>
        <w:jc w:val="both"/>
        <w:rPr>
          <w:rFonts w:asciiTheme="minorHAnsi" w:hAnsiTheme="minorHAnsi" w:cstheme="minorHAnsi"/>
          <w:sz w:val="20"/>
          <w:szCs w:val="20"/>
          <w:lang w:eastAsia="x-none"/>
        </w:rPr>
      </w:pPr>
      <w:r w:rsidRPr="00CE0D7C">
        <w:rPr>
          <w:rFonts w:asciiTheme="minorHAnsi" w:hAnsiTheme="minorHAnsi" w:cstheme="minorHAnsi"/>
          <w:sz w:val="20"/>
          <w:szCs w:val="20"/>
          <w:lang w:eastAsia="x-none"/>
        </w:rPr>
        <w:t>Participates in relevant professional development programs, to ensure compliance with current evidence based practice, continuing personal professional.</w:t>
      </w:r>
    </w:p>
    <w:p w:rsidR="00CE0D7C" w:rsidRPr="00CE0D7C" w:rsidRDefault="00CE0D7C" w:rsidP="00CE0D7C">
      <w:pPr>
        <w:numPr>
          <w:ilvl w:val="0"/>
          <w:numId w:val="15"/>
        </w:numPr>
        <w:jc w:val="both"/>
        <w:rPr>
          <w:rFonts w:asciiTheme="minorHAnsi" w:hAnsiTheme="minorHAnsi" w:cstheme="minorHAnsi"/>
          <w:sz w:val="20"/>
          <w:szCs w:val="20"/>
          <w:lang w:eastAsia="x-none"/>
        </w:rPr>
      </w:pPr>
      <w:r w:rsidRPr="00CE0D7C">
        <w:rPr>
          <w:rFonts w:asciiTheme="minorHAnsi" w:hAnsiTheme="minorHAnsi" w:cstheme="minorHAnsi"/>
          <w:sz w:val="20"/>
          <w:szCs w:val="20"/>
          <w:lang w:eastAsia="x-none"/>
        </w:rPr>
        <w:t xml:space="preserve">Promotes and facilitates clinical research </w:t>
      </w:r>
    </w:p>
    <w:p w:rsidR="00CE0D7C" w:rsidRPr="00CE0D7C" w:rsidRDefault="00CE0D7C" w:rsidP="00CE0D7C">
      <w:pPr>
        <w:numPr>
          <w:ilvl w:val="0"/>
          <w:numId w:val="14"/>
        </w:numPr>
        <w:rPr>
          <w:rFonts w:asciiTheme="minorHAnsi" w:hAnsiTheme="minorHAnsi" w:cstheme="minorHAnsi"/>
          <w:sz w:val="20"/>
          <w:szCs w:val="20"/>
          <w:lang w:eastAsia="x-none"/>
        </w:rPr>
      </w:pPr>
      <w:r w:rsidRPr="00CE0D7C">
        <w:rPr>
          <w:rFonts w:asciiTheme="minorHAnsi" w:hAnsiTheme="minorHAnsi" w:cstheme="minorHAnsi"/>
          <w:sz w:val="20"/>
          <w:szCs w:val="20"/>
          <w:lang w:eastAsia="x-none"/>
        </w:rPr>
        <w:t>Implements harm minimisation and risk assessment strategies for at-risk individuals.</w:t>
      </w:r>
    </w:p>
    <w:p w:rsidR="002543CD" w:rsidRDefault="00CE0D7C" w:rsidP="007902C6">
      <w:pPr>
        <w:numPr>
          <w:ilvl w:val="0"/>
          <w:numId w:val="14"/>
        </w:numPr>
        <w:rPr>
          <w:rFonts w:asciiTheme="minorHAnsi" w:hAnsiTheme="minorHAnsi" w:cstheme="minorHAnsi"/>
          <w:sz w:val="20"/>
          <w:szCs w:val="20"/>
          <w:lang w:eastAsia="x-none"/>
        </w:rPr>
      </w:pPr>
      <w:r w:rsidRPr="002543CD">
        <w:rPr>
          <w:rFonts w:asciiTheme="minorHAnsi" w:hAnsiTheme="minorHAnsi" w:cstheme="minorHAnsi"/>
          <w:sz w:val="20"/>
          <w:szCs w:val="20"/>
          <w:lang w:eastAsia="x-none"/>
        </w:rPr>
        <w:t xml:space="preserve">Treats all employees of the organisation with respect and dignity and free of discrimination or harassment. </w:t>
      </w:r>
    </w:p>
    <w:p w:rsidR="00CE0D7C" w:rsidRPr="002543CD" w:rsidRDefault="00CE0D7C" w:rsidP="007902C6">
      <w:pPr>
        <w:numPr>
          <w:ilvl w:val="0"/>
          <w:numId w:val="14"/>
        </w:numPr>
        <w:rPr>
          <w:rFonts w:asciiTheme="minorHAnsi" w:hAnsiTheme="minorHAnsi" w:cstheme="minorHAnsi"/>
          <w:sz w:val="20"/>
          <w:szCs w:val="20"/>
          <w:lang w:eastAsia="x-none"/>
        </w:rPr>
      </w:pPr>
      <w:r w:rsidRPr="002543CD">
        <w:rPr>
          <w:rFonts w:asciiTheme="minorHAnsi" w:hAnsiTheme="minorHAnsi" w:cstheme="minorHAnsi"/>
          <w:sz w:val="20"/>
          <w:szCs w:val="20"/>
          <w:lang w:eastAsia="x-none"/>
        </w:rPr>
        <w:t>Practices in accordance with the philosophy, intent and registration standards prescribed by respective Discipline Association including their Code of Ethics and Code of Professional Conduct.</w:t>
      </w:r>
    </w:p>
    <w:p w:rsidR="00E35CE6" w:rsidRPr="001E4A80" w:rsidRDefault="00E35CE6" w:rsidP="00E35CE6">
      <w:pPr>
        <w:numPr>
          <w:ilvl w:val="12"/>
          <w:numId w:val="0"/>
        </w:numPr>
        <w:ind w:left="567" w:hanging="567"/>
        <w:rPr>
          <w:rFonts w:ascii="TheSansOffice" w:hAnsi="TheSansOffice" w:cs="Arial"/>
          <w:b/>
          <w:sz w:val="18"/>
          <w:szCs w:val="18"/>
          <w:u w:val="single"/>
        </w:rPr>
      </w:pPr>
    </w:p>
    <w:p w:rsidR="00E35CE6" w:rsidRPr="00E55A15" w:rsidRDefault="00E35CE6" w:rsidP="00E35CE6">
      <w:pPr>
        <w:pStyle w:val="Heading1"/>
        <w:numPr>
          <w:ilvl w:val="0"/>
          <w:numId w:val="4"/>
        </w:numPr>
        <w:pBdr>
          <w:bottom w:val="single" w:sz="4" w:space="1" w:color="auto"/>
        </w:pBdr>
        <w:spacing w:line="276" w:lineRule="auto"/>
        <w:jc w:val="both"/>
        <w:rPr>
          <w:rFonts w:ascii="TheSansOffice" w:hAnsi="TheSansOffice"/>
          <w:sz w:val="18"/>
          <w:szCs w:val="18"/>
        </w:rPr>
      </w:pPr>
      <w:r>
        <w:rPr>
          <w:rFonts w:ascii="TheSansOffice" w:hAnsi="TheSansOffice" w:cs="Tahoma"/>
          <w:sz w:val="18"/>
          <w:szCs w:val="18"/>
        </w:rPr>
        <w:t>INCUMBENT</w:t>
      </w:r>
      <w:r w:rsidRPr="00E55A15">
        <w:rPr>
          <w:rFonts w:ascii="TheSansOffice" w:hAnsi="TheSansOffice"/>
          <w:sz w:val="18"/>
          <w:szCs w:val="18"/>
        </w:rPr>
        <w:t xml:space="preserve"> </w:t>
      </w:r>
      <w:r w:rsidRPr="00E20247">
        <w:rPr>
          <w:rFonts w:ascii="TheSansOffice" w:hAnsi="TheSansOffice" w:cs="Tahoma"/>
          <w:sz w:val="18"/>
          <w:szCs w:val="18"/>
        </w:rPr>
        <w:t>OBLIGATIONS</w:t>
      </w:r>
      <w:r w:rsidRPr="00E55A15">
        <w:rPr>
          <w:rFonts w:ascii="TheSansOffice" w:hAnsi="TheSansOffice"/>
          <w:sz w:val="18"/>
          <w:szCs w:val="18"/>
        </w:rPr>
        <w:t xml:space="preserve"> </w:t>
      </w:r>
    </w:p>
    <w:p w:rsidR="00330B7D" w:rsidRDefault="00330B7D" w:rsidP="00E35CE6">
      <w:pPr>
        <w:spacing w:line="276" w:lineRule="auto"/>
        <w:jc w:val="both"/>
        <w:rPr>
          <w:rFonts w:ascii="TheSansOffice" w:hAnsi="TheSansOffice"/>
          <w:b/>
          <w:sz w:val="18"/>
          <w:szCs w:val="18"/>
          <w:u w:val="single"/>
        </w:rPr>
      </w:pPr>
    </w:p>
    <w:p w:rsidR="00E35CE6" w:rsidRPr="00A96B00" w:rsidRDefault="00E35CE6" w:rsidP="00E35CE6">
      <w:pPr>
        <w:spacing w:line="276" w:lineRule="auto"/>
        <w:jc w:val="both"/>
        <w:rPr>
          <w:rFonts w:ascii="TheSansOffice" w:hAnsi="TheSansOffice" w:cs="Tahoma"/>
          <w:sz w:val="18"/>
          <w:szCs w:val="18"/>
          <w:u w:val="single"/>
        </w:rPr>
      </w:pPr>
      <w:r w:rsidRPr="00E20247">
        <w:rPr>
          <w:rFonts w:ascii="TheSansOffice" w:hAnsi="TheSansOffice"/>
          <w:b/>
          <w:sz w:val="18"/>
          <w:szCs w:val="18"/>
          <w:u w:val="single"/>
        </w:rPr>
        <w:t>General</w:t>
      </w:r>
    </w:p>
    <w:p w:rsidR="002436C3" w:rsidRPr="002436C3" w:rsidRDefault="002436C3" w:rsidP="002436C3">
      <w:pPr>
        <w:pStyle w:val="ListParagraph"/>
        <w:numPr>
          <w:ilvl w:val="0"/>
          <w:numId w:val="9"/>
        </w:numPr>
        <w:autoSpaceDE w:val="0"/>
        <w:autoSpaceDN w:val="0"/>
        <w:adjustRightInd w:val="0"/>
        <w:spacing w:line="276" w:lineRule="auto"/>
        <w:jc w:val="both"/>
        <w:rPr>
          <w:rFonts w:ascii="TheSansOffice" w:hAnsi="TheSansOffice" w:cs="Tahoma"/>
          <w:sz w:val="18"/>
          <w:szCs w:val="18"/>
        </w:rPr>
      </w:pPr>
      <w:r w:rsidRPr="002436C3">
        <w:rPr>
          <w:rFonts w:ascii="TheSansOffice" w:hAnsi="TheSansOffice" w:cs="Tahoma"/>
          <w:sz w:val="18"/>
          <w:szCs w:val="18"/>
        </w:rPr>
        <w:t>Perform duties of the position to the best of their ability and to a standard acceptable to SVHM</w:t>
      </w:r>
    </w:p>
    <w:p w:rsidR="002436C3" w:rsidRPr="002436C3" w:rsidRDefault="002436C3" w:rsidP="002436C3">
      <w:pPr>
        <w:pStyle w:val="ListParagraph"/>
        <w:numPr>
          <w:ilvl w:val="0"/>
          <w:numId w:val="9"/>
        </w:numPr>
        <w:autoSpaceDE w:val="0"/>
        <w:autoSpaceDN w:val="0"/>
        <w:adjustRightInd w:val="0"/>
        <w:spacing w:line="276" w:lineRule="auto"/>
        <w:jc w:val="both"/>
        <w:rPr>
          <w:rFonts w:ascii="TheSansOffice" w:hAnsi="TheSansOffice" w:cs="Tahoma"/>
          <w:sz w:val="18"/>
          <w:szCs w:val="18"/>
        </w:rPr>
      </w:pPr>
      <w:r w:rsidRPr="002436C3">
        <w:rPr>
          <w:rFonts w:ascii="TheSansOffice" w:hAnsi="TheSansOffice" w:cs="Tahoma"/>
          <w:sz w:val="18"/>
          <w:szCs w:val="18"/>
        </w:rPr>
        <w:t>Comply with all SVHM policies, procedures, by-laws and directions</w:t>
      </w:r>
    </w:p>
    <w:p w:rsidR="002436C3" w:rsidRPr="002436C3" w:rsidRDefault="002436C3" w:rsidP="002436C3">
      <w:pPr>
        <w:pStyle w:val="ListParagraph"/>
        <w:numPr>
          <w:ilvl w:val="0"/>
          <w:numId w:val="9"/>
        </w:numPr>
        <w:autoSpaceDE w:val="0"/>
        <w:autoSpaceDN w:val="0"/>
        <w:adjustRightInd w:val="0"/>
        <w:spacing w:line="276" w:lineRule="auto"/>
        <w:jc w:val="both"/>
        <w:rPr>
          <w:rFonts w:ascii="TheSansOffice" w:hAnsi="TheSansOffice" w:cs="Tahoma"/>
          <w:sz w:val="18"/>
          <w:szCs w:val="18"/>
        </w:rPr>
      </w:pPr>
      <w:r w:rsidRPr="002436C3">
        <w:rPr>
          <w:rFonts w:ascii="TheSansOffice" w:hAnsi="TheSansOffice" w:cs="Tahoma"/>
          <w:sz w:val="18"/>
          <w:szCs w:val="18"/>
        </w:rPr>
        <w:t>Treat others with respect and always behave professionally and in accordance with the SVHM Code of Conduct</w:t>
      </w:r>
    </w:p>
    <w:p w:rsidR="002436C3" w:rsidRPr="002436C3" w:rsidRDefault="002436C3" w:rsidP="002436C3">
      <w:pPr>
        <w:pStyle w:val="ListParagraph"/>
        <w:numPr>
          <w:ilvl w:val="0"/>
          <w:numId w:val="9"/>
        </w:numPr>
        <w:autoSpaceDE w:val="0"/>
        <w:autoSpaceDN w:val="0"/>
        <w:adjustRightInd w:val="0"/>
        <w:spacing w:line="276" w:lineRule="auto"/>
        <w:jc w:val="both"/>
        <w:rPr>
          <w:rFonts w:ascii="TheSansOffice" w:hAnsi="TheSansOffice" w:cs="Tahoma"/>
          <w:sz w:val="18"/>
          <w:szCs w:val="18"/>
        </w:rPr>
      </w:pPr>
      <w:r w:rsidRPr="002436C3">
        <w:rPr>
          <w:rFonts w:ascii="TheSansOffice" w:hAnsi="TheSansOffice" w:cs="Tahoma"/>
          <w:sz w:val="18"/>
          <w:szCs w:val="18"/>
        </w:rPr>
        <w:t>Only access confidential information held by SVHM when this is necessary for business purposes, maintaining the confidentiality of that information once accessed</w:t>
      </w:r>
    </w:p>
    <w:p w:rsidR="002436C3" w:rsidRPr="002436C3" w:rsidRDefault="002436C3" w:rsidP="002436C3">
      <w:pPr>
        <w:pStyle w:val="ListParagraph"/>
        <w:numPr>
          <w:ilvl w:val="0"/>
          <w:numId w:val="9"/>
        </w:numPr>
        <w:autoSpaceDE w:val="0"/>
        <w:autoSpaceDN w:val="0"/>
        <w:adjustRightInd w:val="0"/>
        <w:spacing w:line="276" w:lineRule="auto"/>
        <w:jc w:val="both"/>
        <w:rPr>
          <w:rFonts w:ascii="TheSansOffice" w:hAnsi="TheSansOffice" w:cs="Tahoma"/>
          <w:sz w:val="18"/>
          <w:szCs w:val="18"/>
        </w:rPr>
      </w:pPr>
      <w:r w:rsidRPr="002436C3">
        <w:rPr>
          <w:rFonts w:ascii="TheSansOffice" w:hAnsi="TheSansOffice" w:cs="Tahoma"/>
          <w:sz w:val="18"/>
          <w:szCs w:val="18"/>
        </w:rPr>
        <w:t>Participate in the annual SVHM performance review process</w:t>
      </w:r>
    </w:p>
    <w:p w:rsidR="002436C3" w:rsidRPr="002436C3" w:rsidRDefault="002436C3" w:rsidP="002436C3">
      <w:pPr>
        <w:pStyle w:val="ListParagraph"/>
        <w:numPr>
          <w:ilvl w:val="0"/>
          <w:numId w:val="9"/>
        </w:numPr>
        <w:autoSpaceDE w:val="0"/>
        <w:autoSpaceDN w:val="0"/>
        <w:adjustRightInd w:val="0"/>
        <w:spacing w:line="276" w:lineRule="auto"/>
        <w:jc w:val="both"/>
        <w:rPr>
          <w:rFonts w:ascii="TheSansOffice" w:hAnsi="TheSansOffice" w:cs="Tahoma"/>
          <w:sz w:val="18"/>
          <w:szCs w:val="18"/>
        </w:rPr>
      </w:pPr>
      <w:r w:rsidRPr="002436C3">
        <w:rPr>
          <w:rFonts w:ascii="TheSansOffice" w:hAnsi="TheSansOffice" w:cs="Tahoma"/>
          <w:sz w:val="18"/>
          <w:szCs w:val="18"/>
        </w:rPr>
        <w:t>Display adaptability and flexibility to meet the changing operational needs of the business</w:t>
      </w:r>
    </w:p>
    <w:p w:rsidR="002436C3" w:rsidRPr="002436C3" w:rsidRDefault="002436C3" w:rsidP="002436C3">
      <w:pPr>
        <w:pStyle w:val="ListParagraph"/>
        <w:numPr>
          <w:ilvl w:val="0"/>
          <w:numId w:val="9"/>
        </w:numPr>
        <w:autoSpaceDE w:val="0"/>
        <w:autoSpaceDN w:val="0"/>
        <w:adjustRightInd w:val="0"/>
        <w:spacing w:line="276" w:lineRule="auto"/>
        <w:jc w:val="both"/>
        <w:rPr>
          <w:rFonts w:ascii="TheSansOffice" w:hAnsi="TheSansOffice" w:cs="Tahoma"/>
          <w:sz w:val="18"/>
          <w:szCs w:val="18"/>
        </w:rPr>
      </w:pPr>
      <w:r w:rsidRPr="002436C3">
        <w:rPr>
          <w:rFonts w:ascii="TheSansOffice" w:hAnsi="TheSansOffice" w:cs="Tahoma"/>
          <w:sz w:val="18"/>
          <w:szCs w:val="18"/>
        </w:rPr>
        <w:t>Comply with applicable Enterprise Bargaining Agreement provisions</w:t>
      </w:r>
    </w:p>
    <w:p w:rsidR="002436C3" w:rsidRPr="002436C3" w:rsidRDefault="002436C3" w:rsidP="002436C3">
      <w:pPr>
        <w:pStyle w:val="ListParagraph"/>
        <w:numPr>
          <w:ilvl w:val="0"/>
          <w:numId w:val="9"/>
        </w:numPr>
        <w:autoSpaceDE w:val="0"/>
        <w:autoSpaceDN w:val="0"/>
        <w:adjustRightInd w:val="0"/>
        <w:spacing w:line="276" w:lineRule="auto"/>
        <w:jc w:val="both"/>
        <w:rPr>
          <w:rFonts w:ascii="TheSansOffice" w:hAnsi="TheSansOffice" w:cs="Tahoma"/>
          <w:sz w:val="18"/>
          <w:szCs w:val="18"/>
        </w:rPr>
      </w:pPr>
      <w:r w:rsidRPr="002436C3">
        <w:rPr>
          <w:rFonts w:ascii="TheSansOffice" w:hAnsi="TheSansOffice" w:cs="Tahoma"/>
          <w:sz w:val="18"/>
          <w:szCs w:val="18"/>
        </w:rPr>
        <w:t>Participate in line management and professional supervision, displaying a willingness to develop self and seek to improve performance</w:t>
      </w:r>
    </w:p>
    <w:p w:rsidR="00E35CE6" w:rsidRDefault="00E35CE6" w:rsidP="00E35CE6">
      <w:pPr>
        <w:autoSpaceDE w:val="0"/>
        <w:autoSpaceDN w:val="0"/>
        <w:adjustRightInd w:val="0"/>
        <w:spacing w:line="276" w:lineRule="auto"/>
        <w:jc w:val="both"/>
        <w:rPr>
          <w:rFonts w:ascii="Calibri" w:eastAsia="Arial Unicode MS" w:hAnsi="Calibri" w:cs="Arial"/>
          <w:b/>
          <w:sz w:val="20"/>
          <w:szCs w:val="20"/>
          <w:u w:val="single"/>
        </w:rPr>
      </w:pPr>
    </w:p>
    <w:p w:rsidR="00E35CE6" w:rsidRPr="00D03262" w:rsidRDefault="00E35CE6" w:rsidP="00E35CE6">
      <w:pPr>
        <w:spacing w:line="276" w:lineRule="auto"/>
        <w:jc w:val="both"/>
        <w:rPr>
          <w:rFonts w:ascii="TheSansOffice" w:hAnsi="TheSansOffice" w:cs="Tahoma"/>
          <w:sz w:val="18"/>
          <w:szCs w:val="18"/>
        </w:rPr>
      </w:pPr>
      <w:r w:rsidRPr="00E927A2">
        <w:rPr>
          <w:rFonts w:ascii="Calibri" w:eastAsia="Arial Unicode MS" w:hAnsi="Calibri" w:cs="Arial"/>
          <w:b/>
          <w:sz w:val="20"/>
          <w:szCs w:val="20"/>
          <w:u w:val="single"/>
        </w:rPr>
        <w:t>Clinical Quality and Safety</w:t>
      </w:r>
    </w:p>
    <w:p w:rsidR="00E35CE6" w:rsidRPr="00702B63" w:rsidRDefault="00E35CE6" w:rsidP="00E35CE6">
      <w:pPr>
        <w:pStyle w:val="ListParagraph"/>
        <w:numPr>
          <w:ilvl w:val="0"/>
          <w:numId w:val="3"/>
        </w:numPr>
        <w:spacing w:line="276" w:lineRule="auto"/>
        <w:jc w:val="both"/>
        <w:rPr>
          <w:rFonts w:ascii="TheSansOffice" w:hAnsi="TheSansOffice" w:cs="Tahoma"/>
          <w:sz w:val="18"/>
          <w:szCs w:val="18"/>
        </w:rPr>
      </w:pPr>
      <w:r w:rsidRPr="0014303B">
        <w:rPr>
          <w:rFonts w:ascii="TheSansOffice" w:hAnsi="TheSansOffice"/>
          <w:sz w:val="18"/>
          <w:szCs w:val="18"/>
        </w:rPr>
        <w:t>Attend clinical orientation upon commencement</w:t>
      </w:r>
    </w:p>
    <w:p w:rsidR="00E35CE6" w:rsidRDefault="00E35CE6" w:rsidP="00E35CE6">
      <w:pPr>
        <w:numPr>
          <w:ilvl w:val="0"/>
          <w:numId w:val="3"/>
        </w:numPr>
        <w:spacing w:line="276" w:lineRule="auto"/>
        <w:jc w:val="both"/>
        <w:rPr>
          <w:rFonts w:ascii="TheSansOffice" w:hAnsi="TheSansOffice" w:cs="Tahoma"/>
          <w:sz w:val="18"/>
          <w:szCs w:val="18"/>
        </w:rPr>
      </w:pPr>
      <w:r w:rsidRPr="0014303B">
        <w:rPr>
          <w:rFonts w:ascii="TheSansOffice" w:hAnsi="TheSansOffice" w:cs="Tahoma"/>
          <w:sz w:val="18"/>
          <w:szCs w:val="18"/>
        </w:rPr>
        <w:t xml:space="preserve">Maintain clinical registration </w:t>
      </w:r>
      <w:r>
        <w:rPr>
          <w:rFonts w:ascii="TheSansOffice" w:hAnsi="TheSansOffice" w:cs="Tahoma"/>
          <w:sz w:val="18"/>
          <w:szCs w:val="18"/>
        </w:rPr>
        <w:t>and any required indemnity cover</w:t>
      </w:r>
    </w:p>
    <w:p w:rsidR="00E35CE6" w:rsidRPr="00CC1E6F" w:rsidRDefault="00E35CE6" w:rsidP="00E35CE6">
      <w:pPr>
        <w:pStyle w:val="ListParagraph"/>
        <w:numPr>
          <w:ilvl w:val="0"/>
          <w:numId w:val="3"/>
        </w:numPr>
        <w:rPr>
          <w:rFonts w:ascii="TheSansOffice" w:hAnsi="TheSansOffice"/>
          <w:sz w:val="18"/>
          <w:szCs w:val="18"/>
        </w:rPr>
      </w:pPr>
      <w:r>
        <w:rPr>
          <w:rFonts w:ascii="TheSansOffice" w:hAnsi="TheSansOffice"/>
          <w:sz w:val="18"/>
          <w:szCs w:val="18"/>
        </w:rPr>
        <w:t>Always w</w:t>
      </w:r>
      <w:r w:rsidRPr="00CC1E6F">
        <w:rPr>
          <w:rFonts w:ascii="TheSansOffice" w:hAnsi="TheSansOffice"/>
          <w:sz w:val="18"/>
          <w:szCs w:val="18"/>
        </w:rPr>
        <w:t xml:space="preserve">ork within approved scope of practice </w:t>
      </w:r>
      <w:r>
        <w:rPr>
          <w:rFonts w:ascii="TheSansOffice" w:hAnsi="TheSansOffice"/>
          <w:sz w:val="18"/>
          <w:szCs w:val="18"/>
        </w:rPr>
        <w:t xml:space="preserve">under </w:t>
      </w:r>
      <w:r w:rsidRPr="00CC1E6F">
        <w:rPr>
          <w:rFonts w:ascii="TheSansOffice" w:hAnsi="TheSansOffice"/>
          <w:sz w:val="18"/>
          <w:szCs w:val="18"/>
        </w:rPr>
        <w:t>supervis</w:t>
      </w:r>
      <w:r>
        <w:rPr>
          <w:rFonts w:ascii="TheSansOffice" w:hAnsi="TheSansOffice"/>
          <w:sz w:val="18"/>
          <w:szCs w:val="18"/>
        </w:rPr>
        <w:t>ion</w:t>
      </w:r>
      <w:r w:rsidRPr="00CC1E6F">
        <w:rPr>
          <w:rFonts w:ascii="TheSansOffice" w:hAnsi="TheSansOffice"/>
          <w:sz w:val="18"/>
          <w:szCs w:val="18"/>
        </w:rPr>
        <w:t xml:space="preserve"> by </w:t>
      </w:r>
      <w:r>
        <w:rPr>
          <w:rFonts w:ascii="TheSansOffice" w:hAnsi="TheSansOffice"/>
          <w:sz w:val="18"/>
          <w:szCs w:val="18"/>
        </w:rPr>
        <w:t>more s</w:t>
      </w:r>
      <w:r w:rsidRPr="00CC1E6F">
        <w:rPr>
          <w:rFonts w:ascii="TheSansOffice" w:hAnsi="TheSansOffice"/>
          <w:sz w:val="18"/>
          <w:szCs w:val="18"/>
        </w:rPr>
        <w:t xml:space="preserve">enior </w:t>
      </w:r>
      <w:r>
        <w:rPr>
          <w:rFonts w:ascii="TheSansOffice" w:hAnsi="TheSansOffice"/>
          <w:sz w:val="18"/>
          <w:szCs w:val="18"/>
        </w:rPr>
        <w:t>clinical staff as appropriate</w:t>
      </w:r>
      <w:r w:rsidRPr="00CC1E6F">
        <w:rPr>
          <w:rFonts w:ascii="TheSansOffice" w:hAnsi="TheSansOffice"/>
          <w:sz w:val="18"/>
          <w:szCs w:val="18"/>
        </w:rPr>
        <w:t>.</w:t>
      </w:r>
    </w:p>
    <w:p w:rsidR="00E35CE6" w:rsidRPr="0014303B" w:rsidRDefault="00E35CE6" w:rsidP="00E35CE6">
      <w:pPr>
        <w:pStyle w:val="Default"/>
        <w:numPr>
          <w:ilvl w:val="0"/>
          <w:numId w:val="3"/>
        </w:numPr>
        <w:spacing w:after="29"/>
        <w:rPr>
          <w:rFonts w:ascii="TheSansOffice" w:hAnsi="TheSansOffice"/>
          <w:sz w:val="18"/>
          <w:szCs w:val="18"/>
        </w:rPr>
      </w:pPr>
      <w:r w:rsidRPr="0014303B">
        <w:rPr>
          <w:rFonts w:ascii="TheSansOffice" w:hAnsi="TheSansOffice"/>
          <w:sz w:val="18"/>
          <w:szCs w:val="18"/>
        </w:rPr>
        <w:t>Take personal responsibility for the quality and safety of work undertaken</w:t>
      </w:r>
    </w:p>
    <w:p w:rsidR="00E35CE6" w:rsidRPr="0014303B" w:rsidRDefault="00E35CE6" w:rsidP="00E35CE6">
      <w:pPr>
        <w:pStyle w:val="ListParagraph"/>
        <w:numPr>
          <w:ilvl w:val="0"/>
          <w:numId w:val="3"/>
        </w:numPr>
        <w:spacing w:line="276" w:lineRule="auto"/>
        <w:jc w:val="both"/>
        <w:rPr>
          <w:rFonts w:ascii="TheSansOffice" w:hAnsi="TheSansOffice" w:cs="Arial"/>
          <w:sz w:val="18"/>
          <w:szCs w:val="18"/>
        </w:rPr>
      </w:pPr>
      <w:r w:rsidRPr="0014303B">
        <w:rPr>
          <w:rFonts w:ascii="TheSansOffice" w:hAnsi="TheSansOffice" w:cs="Arial"/>
          <w:sz w:val="18"/>
          <w:szCs w:val="18"/>
        </w:rPr>
        <w:t>Take all necessary care and precautions when undertaking clinical procedures</w:t>
      </w:r>
    </w:p>
    <w:p w:rsidR="00E35CE6" w:rsidRPr="0014303B" w:rsidRDefault="00E35CE6" w:rsidP="00E35CE6">
      <w:pPr>
        <w:pStyle w:val="ListParagraph"/>
        <w:numPr>
          <w:ilvl w:val="0"/>
          <w:numId w:val="3"/>
        </w:numPr>
        <w:spacing w:line="276" w:lineRule="auto"/>
        <w:jc w:val="both"/>
        <w:rPr>
          <w:rFonts w:ascii="TheSansOffice" w:hAnsi="TheSansOffice" w:cs="Tahoma"/>
          <w:sz w:val="18"/>
          <w:szCs w:val="18"/>
        </w:rPr>
      </w:pPr>
      <w:r w:rsidRPr="0014303B">
        <w:rPr>
          <w:rFonts w:ascii="TheSansOffice" w:hAnsi="TheSansOffice"/>
          <w:sz w:val="18"/>
          <w:szCs w:val="18"/>
        </w:rPr>
        <w:t>Complete  annual clinical competencies</w:t>
      </w:r>
    </w:p>
    <w:p w:rsidR="00E35CE6" w:rsidRPr="0014303B" w:rsidRDefault="00E35CE6" w:rsidP="00E35CE6">
      <w:pPr>
        <w:pStyle w:val="Default"/>
        <w:numPr>
          <w:ilvl w:val="0"/>
          <w:numId w:val="3"/>
        </w:numPr>
        <w:spacing w:after="29"/>
        <w:rPr>
          <w:rFonts w:ascii="TheSansOffice" w:hAnsi="TheSansOffice"/>
          <w:sz w:val="18"/>
          <w:szCs w:val="18"/>
        </w:rPr>
      </w:pPr>
      <w:r w:rsidRPr="0014303B">
        <w:rPr>
          <w:rFonts w:ascii="TheSansOffice" w:hAnsi="TheSansOffice"/>
          <w:sz w:val="18"/>
          <w:szCs w:val="18"/>
        </w:rPr>
        <w:t xml:space="preserve">Maintain skills and knowledge necessary to safely and skilfully undertake clinical work </w:t>
      </w:r>
    </w:p>
    <w:p w:rsidR="00E35CE6" w:rsidRPr="0014303B" w:rsidRDefault="00E35CE6" w:rsidP="00E35CE6">
      <w:pPr>
        <w:pStyle w:val="Default"/>
        <w:numPr>
          <w:ilvl w:val="0"/>
          <w:numId w:val="3"/>
        </w:numPr>
        <w:spacing w:after="29"/>
        <w:rPr>
          <w:rFonts w:ascii="TheSansOffice" w:hAnsi="TheSansOffice"/>
          <w:sz w:val="18"/>
          <w:szCs w:val="18"/>
        </w:rPr>
      </w:pPr>
      <w:r w:rsidRPr="0014303B">
        <w:rPr>
          <w:rFonts w:ascii="TheSansOffice" w:hAnsi="TheSansOffice"/>
          <w:sz w:val="18"/>
          <w:szCs w:val="18"/>
        </w:rPr>
        <w:t xml:space="preserve">Consult with peers and other experts and refer to other healthcare workers when appropriate and in a timely manner </w:t>
      </w:r>
    </w:p>
    <w:p w:rsidR="00E35CE6" w:rsidRPr="0014303B" w:rsidRDefault="00E35CE6" w:rsidP="00E35CE6">
      <w:pPr>
        <w:pStyle w:val="Default"/>
        <w:numPr>
          <w:ilvl w:val="0"/>
          <w:numId w:val="3"/>
        </w:numPr>
        <w:spacing w:after="29"/>
        <w:rPr>
          <w:rFonts w:ascii="TheSansOffice" w:hAnsi="TheSansOffice"/>
          <w:sz w:val="18"/>
          <w:szCs w:val="18"/>
        </w:rPr>
      </w:pPr>
      <w:r w:rsidRPr="0014303B">
        <w:rPr>
          <w:rFonts w:ascii="TheSansOffice" w:hAnsi="TheSansOffice"/>
          <w:sz w:val="18"/>
          <w:szCs w:val="18"/>
        </w:rPr>
        <w:t>Collaborate and clearly communicate with patient</w:t>
      </w:r>
      <w:r>
        <w:rPr>
          <w:rFonts w:ascii="TheSansOffice" w:hAnsi="TheSansOffice"/>
          <w:sz w:val="18"/>
          <w:szCs w:val="18"/>
        </w:rPr>
        <w:t>s</w:t>
      </w:r>
      <w:r w:rsidRPr="0014303B">
        <w:rPr>
          <w:rFonts w:ascii="TheSansOffice" w:hAnsi="TheSansOffice"/>
          <w:sz w:val="18"/>
          <w:szCs w:val="18"/>
        </w:rPr>
        <w:t>/client</w:t>
      </w:r>
      <w:r>
        <w:rPr>
          <w:rFonts w:ascii="TheSansOffice" w:hAnsi="TheSansOffice"/>
          <w:sz w:val="18"/>
          <w:szCs w:val="18"/>
        </w:rPr>
        <w:t xml:space="preserve">s </w:t>
      </w:r>
      <w:r w:rsidRPr="0014303B">
        <w:rPr>
          <w:rFonts w:ascii="TheSansOffice" w:hAnsi="TheSansOffice"/>
          <w:sz w:val="18"/>
          <w:szCs w:val="18"/>
        </w:rPr>
        <w:t xml:space="preserve">and the healthcare team </w:t>
      </w:r>
    </w:p>
    <w:p w:rsidR="00E35CE6" w:rsidRPr="00702B63" w:rsidRDefault="00E35CE6" w:rsidP="00E35CE6">
      <w:pPr>
        <w:pStyle w:val="Default"/>
        <w:numPr>
          <w:ilvl w:val="0"/>
          <w:numId w:val="3"/>
        </w:numPr>
        <w:rPr>
          <w:rFonts w:ascii="TheSansOffice" w:hAnsi="TheSansOffice"/>
          <w:sz w:val="18"/>
          <w:szCs w:val="18"/>
        </w:rPr>
      </w:pPr>
      <w:r w:rsidRPr="00702B63">
        <w:rPr>
          <w:rFonts w:ascii="TheSansOffice" w:hAnsi="TheSansOffice"/>
          <w:sz w:val="18"/>
          <w:szCs w:val="18"/>
        </w:rPr>
        <w:t>Participat</w:t>
      </w:r>
      <w:r>
        <w:rPr>
          <w:rFonts w:ascii="TheSansOffice" w:hAnsi="TheSansOffice"/>
          <w:sz w:val="18"/>
          <w:szCs w:val="18"/>
        </w:rPr>
        <w:t>e</w:t>
      </w:r>
      <w:r w:rsidRPr="00702B63">
        <w:rPr>
          <w:rFonts w:ascii="TheSansOffice" w:hAnsi="TheSansOffice"/>
          <w:sz w:val="18"/>
          <w:szCs w:val="18"/>
        </w:rPr>
        <w:t xml:space="preserve"> in clinical risk management and continuous quality improvement activities</w:t>
      </w:r>
      <w:r>
        <w:rPr>
          <w:rFonts w:ascii="TheSansOffice" w:hAnsi="TheSansOffice"/>
          <w:sz w:val="18"/>
          <w:szCs w:val="18"/>
        </w:rPr>
        <w:t xml:space="preserve"> </w:t>
      </w:r>
      <w:r w:rsidRPr="00702B63">
        <w:rPr>
          <w:rFonts w:ascii="TheSansOffice" w:hAnsi="TheSansOffice"/>
          <w:sz w:val="18"/>
          <w:szCs w:val="18"/>
        </w:rPr>
        <w:t xml:space="preserve">as part of day-to-day work </w:t>
      </w:r>
    </w:p>
    <w:p w:rsidR="00E35CE6" w:rsidRDefault="00E35CE6" w:rsidP="00E35CE6">
      <w:pPr>
        <w:autoSpaceDE w:val="0"/>
        <w:autoSpaceDN w:val="0"/>
        <w:adjustRightInd w:val="0"/>
        <w:spacing w:line="276" w:lineRule="auto"/>
        <w:jc w:val="both"/>
        <w:rPr>
          <w:rFonts w:ascii="Calibri" w:eastAsia="Arial Unicode MS" w:hAnsi="Calibri" w:cs="Arial"/>
          <w:sz w:val="20"/>
          <w:szCs w:val="20"/>
        </w:rPr>
      </w:pPr>
    </w:p>
    <w:p w:rsidR="00E35CE6" w:rsidRDefault="00E35CE6" w:rsidP="00E35CE6">
      <w:pPr>
        <w:spacing w:line="276" w:lineRule="auto"/>
        <w:rPr>
          <w:rFonts w:ascii="TheSansOffice" w:hAnsi="TheSansOffice"/>
          <w:b/>
          <w:bCs/>
          <w:color w:val="000000"/>
          <w:sz w:val="18"/>
          <w:szCs w:val="18"/>
          <w:u w:val="single"/>
        </w:rPr>
      </w:pPr>
      <w:r>
        <w:rPr>
          <w:rFonts w:ascii="TheSansOffice" w:hAnsi="TheSansOffice"/>
          <w:b/>
          <w:bCs/>
          <w:color w:val="000000"/>
          <w:sz w:val="18"/>
          <w:szCs w:val="18"/>
          <w:u w:val="single"/>
        </w:rPr>
        <w:t>Person Centred Care</w:t>
      </w:r>
    </w:p>
    <w:p w:rsidR="002436C3" w:rsidRPr="002436C3" w:rsidRDefault="002436C3" w:rsidP="002436C3">
      <w:pPr>
        <w:pStyle w:val="ListParagraph"/>
        <w:numPr>
          <w:ilvl w:val="0"/>
          <w:numId w:val="11"/>
        </w:numPr>
        <w:autoSpaceDE w:val="0"/>
        <w:autoSpaceDN w:val="0"/>
        <w:adjustRightInd w:val="0"/>
        <w:spacing w:line="276" w:lineRule="auto"/>
        <w:jc w:val="both"/>
        <w:rPr>
          <w:rFonts w:ascii="TheSansOffice" w:eastAsiaTheme="minorHAnsi" w:hAnsi="TheSansOffice" w:cs="Arial"/>
          <w:color w:val="000000"/>
          <w:sz w:val="18"/>
          <w:szCs w:val="18"/>
          <w:lang w:eastAsia="en-AU"/>
        </w:rPr>
      </w:pPr>
      <w:r w:rsidRPr="002436C3">
        <w:rPr>
          <w:rFonts w:ascii="TheSansOffice" w:eastAsiaTheme="minorHAnsi" w:hAnsi="TheSansOffice" w:cs="Arial"/>
          <w:color w:val="000000"/>
          <w:sz w:val="18"/>
          <w:szCs w:val="18"/>
          <w:lang w:eastAsia="en-AU"/>
        </w:rPr>
        <w:t>Ensure consumers and carers receive information in an appropriate and accessible format</w:t>
      </w:r>
    </w:p>
    <w:p w:rsidR="002436C3" w:rsidRPr="002436C3" w:rsidRDefault="002436C3" w:rsidP="002436C3">
      <w:pPr>
        <w:pStyle w:val="ListParagraph"/>
        <w:numPr>
          <w:ilvl w:val="0"/>
          <w:numId w:val="11"/>
        </w:numPr>
        <w:autoSpaceDE w:val="0"/>
        <w:autoSpaceDN w:val="0"/>
        <w:adjustRightInd w:val="0"/>
        <w:spacing w:line="276" w:lineRule="auto"/>
        <w:jc w:val="both"/>
        <w:rPr>
          <w:rFonts w:ascii="TheSansOffice" w:eastAsiaTheme="minorHAnsi" w:hAnsi="TheSansOffice" w:cs="Arial"/>
          <w:color w:val="000000"/>
          <w:sz w:val="18"/>
          <w:szCs w:val="18"/>
          <w:lang w:eastAsia="en-AU"/>
        </w:rPr>
      </w:pPr>
      <w:r w:rsidRPr="002436C3">
        <w:rPr>
          <w:rFonts w:ascii="TheSansOffice" w:eastAsiaTheme="minorHAnsi" w:hAnsi="TheSansOffice" w:cs="Arial"/>
          <w:color w:val="000000"/>
          <w:sz w:val="18"/>
          <w:szCs w:val="18"/>
          <w:lang w:eastAsia="en-AU"/>
        </w:rPr>
        <w:t>Actively support consumers and carers to make informed decisions about their treatment and ongoing care</w:t>
      </w:r>
    </w:p>
    <w:p w:rsidR="002436C3" w:rsidRPr="002436C3" w:rsidRDefault="002436C3" w:rsidP="002436C3">
      <w:pPr>
        <w:pStyle w:val="ListParagraph"/>
        <w:numPr>
          <w:ilvl w:val="0"/>
          <w:numId w:val="11"/>
        </w:numPr>
        <w:autoSpaceDE w:val="0"/>
        <w:autoSpaceDN w:val="0"/>
        <w:adjustRightInd w:val="0"/>
        <w:spacing w:line="276" w:lineRule="auto"/>
        <w:jc w:val="both"/>
        <w:rPr>
          <w:rFonts w:ascii="TheSansOffice" w:eastAsiaTheme="minorHAnsi" w:hAnsi="TheSansOffice" w:cs="Arial"/>
          <w:color w:val="000000"/>
          <w:sz w:val="18"/>
          <w:szCs w:val="18"/>
          <w:lang w:eastAsia="en-AU"/>
        </w:rPr>
      </w:pPr>
      <w:r w:rsidRPr="002436C3">
        <w:rPr>
          <w:rFonts w:ascii="TheSansOffice" w:eastAsiaTheme="minorHAnsi" w:hAnsi="TheSansOffice" w:cs="Arial"/>
          <w:color w:val="000000"/>
          <w:sz w:val="18"/>
          <w:szCs w:val="18"/>
          <w:lang w:eastAsia="en-AU"/>
        </w:rPr>
        <w:t>Ensure consumers and carers are aware of their rights responsibilities and how to provide feedback</w:t>
      </w:r>
    </w:p>
    <w:p w:rsidR="00E35CE6" w:rsidRDefault="00E35CE6" w:rsidP="00E35CE6">
      <w:pPr>
        <w:autoSpaceDE w:val="0"/>
        <w:autoSpaceDN w:val="0"/>
        <w:adjustRightInd w:val="0"/>
        <w:spacing w:line="276" w:lineRule="auto"/>
        <w:jc w:val="both"/>
        <w:rPr>
          <w:rFonts w:ascii="Calibri" w:eastAsia="Arial Unicode MS" w:hAnsi="Calibri" w:cs="Arial"/>
          <w:sz w:val="20"/>
          <w:szCs w:val="20"/>
        </w:rPr>
      </w:pPr>
    </w:p>
    <w:p w:rsidR="00E35CE6" w:rsidRPr="00334AEC" w:rsidRDefault="00E35CE6" w:rsidP="00E35CE6">
      <w:pPr>
        <w:autoSpaceDE w:val="0"/>
        <w:autoSpaceDN w:val="0"/>
        <w:adjustRightInd w:val="0"/>
        <w:spacing w:line="276" w:lineRule="auto"/>
        <w:jc w:val="both"/>
        <w:rPr>
          <w:rFonts w:ascii="TheSansOffice" w:hAnsi="TheSansOffice" w:cs="TheSansOffice"/>
          <w:color w:val="000000"/>
          <w:sz w:val="18"/>
          <w:szCs w:val="18"/>
          <w:u w:val="single"/>
          <w:lang w:eastAsia="en-AU"/>
        </w:rPr>
      </w:pPr>
      <w:r w:rsidRPr="00334AEC">
        <w:rPr>
          <w:rFonts w:ascii="TheSansOffice" w:hAnsi="TheSansOffice" w:cs="TheSansOffice"/>
          <w:b/>
          <w:bCs/>
          <w:color w:val="000000"/>
          <w:sz w:val="18"/>
          <w:szCs w:val="18"/>
          <w:u w:val="single"/>
          <w:lang w:eastAsia="en-AU"/>
        </w:rPr>
        <w:t xml:space="preserve">Health and Safety </w:t>
      </w:r>
    </w:p>
    <w:p w:rsidR="002436C3" w:rsidRPr="002436C3" w:rsidRDefault="002436C3" w:rsidP="002436C3">
      <w:pPr>
        <w:pStyle w:val="ListParagraph"/>
        <w:numPr>
          <w:ilvl w:val="0"/>
          <w:numId w:val="10"/>
        </w:numPr>
        <w:spacing w:line="276" w:lineRule="auto"/>
        <w:jc w:val="both"/>
        <w:rPr>
          <w:rFonts w:ascii="TheSansOffice" w:hAnsi="TheSansOffice" w:cs="TheSansOffice"/>
          <w:color w:val="000000"/>
          <w:sz w:val="18"/>
          <w:szCs w:val="18"/>
          <w:lang w:eastAsia="en-AU"/>
        </w:rPr>
      </w:pPr>
      <w:r w:rsidRPr="002436C3">
        <w:rPr>
          <w:rFonts w:ascii="TheSansOffice" w:hAnsi="TheSansOffice" w:cs="TheSansOffice"/>
          <w:color w:val="000000"/>
          <w:sz w:val="18"/>
          <w:szCs w:val="18"/>
          <w:lang w:eastAsia="en-AU"/>
        </w:rPr>
        <w:t>Protect the health and safety of self and others, complying with all health and safety related policies, procedures and directions</w:t>
      </w:r>
    </w:p>
    <w:p w:rsidR="002436C3" w:rsidRPr="002436C3" w:rsidRDefault="002436C3" w:rsidP="002436C3">
      <w:pPr>
        <w:pStyle w:val="ListParagraph"/>
        <w:numPr>
          <w:ilvl w:val="0"/>
          <w:numId w:val="10"/>
        </w:numPr>
        <w:spacing w:line="276" w:lineRule="auto"/>
        <w:jc w:val="both"/>
        <w:rPr>
          <w:rFonts w:ascii="TheSansOffice" w:hAnsi="TheSansOffice" w:cs="TheSansOffice"/>
          <w:color w:val="000000"/>
          <w:sz w:val="18"/>
          <w:szCs w:val="18"/>
          <w:lang w:eastAsia="en-AU"/>
        </w:rPr>
      </w:pPr>
      <w:r w:rsidRPr="002436C3">
        <w:rPr>
          <w:rFonts w:ascii="TheSansOffice" w:hAnsi="TheSansOffice" w:cs="TheSansOffice"/>
          <w:color w:val="000000"/>
          <w:sz w:val="18"/>
          <w:szCs w:val="18"/>
          <w:lang w:eastAsia="en-AU"/>
        </w:rPr>
        <w:t>Complete required Fire and Emergency Training annually</w:t>
      </w:r>
    </w:p>
    <w:p w:rsidR="002436C3" w:rsidRPr="002436C3" w:rsidRDefault="002436C3" w:rsidP="002436C3">
      <w:pPr>
        <w:pStyle w:val="ListParagraph"/>
        <w:numPr>
          <w:ilvl w:val="0"/>
          <w:numId w:val="10"/>
        </w:numPr>
        <w:spacing w:line="276" w:lineRule="auto"/>
        <w:jc w:val="both"/>
        <w:rPr>
          <w:rFonts w:ascii="TheSansOffice" w:hAnsi="TheSansOffice" w:cs="TheSansOffice"/>
          <w:color w:val="000000"/>
          <w:sz w:val="18"/>
          <w:szCs w:val="18"/>
          <w:lang w:eastAsia="en-AU"/>
        </w:rPr>
      </w:pPr>
      <w:r w:rsidRPr="002436C3">
        <w:rPr>
          <w:rFonts w:ascii="TheSansOffice" w:hAnsi="TheSansOffice" w:cs="TheSansOffice"/>
          <w:color w:val="000000"/>
          <w:sz w:val="18"/>
          <w:szCs w:val="18"/>
          <w:lang w:eastAsia="en-AU"/>
        </w:rPr>
        <w:t>Complete required Workplace Culture and Equity Training annually</w:t>
      </w:r>
    </w:p>
    <w:p w:rsidR="002436C3" w:rsidRPr="002436C3" w:rsidRDefault="002436C3" w:rsidP="002436C3">
      <w:pPr>
        <w:pStyle w:val="ListParagraph"/>
        <w:numPr>
          <w:ilvl w:val="0"/>
          <w:numId w:val="10"/>
        </w:numPr>
        <w:spacing w:line="276" w:lineRule="auto"/>
        <w:jc w:val="both"/>
        <w:rPr>
          <w:rFonts w:ascii="TheSansOffice" w:hAnsi="TheSansOffice" w:cs="TheSansOffice"/>
          <w:color w:val="000000"/>
          <w:sz w:val="18"/>
          <w:szCs w:val="18"/>
          <w:lang w:eastAsia="en-AU"/>
        </w:rPr>
      </w:pPr>
      <w:r w:rsidRPr="002436C3">
        <w:rPr>
          <w:rFonts w:ascii="TheSansOffice" w:hAnsi="TheSansOffice" w:cs="TheSansOffice"/>
          <w:color w:val="000000"/>
          <w:sz w:val="18"/>
          <w:szCs w:val="18"/>
          <w:lang w:eastAsia="en-AU"/>
        </w:rPr>
        <w:t>Attend general hospital orientation within 3 months of commencement</w:t>
      </w:r>
    </w:p>
    <w:p w:rsidR="002436C3" w:rsidRPr="002436C3" w:rsidRDefault="002436C3" w:rsidP="002436C3">
      <w:pPr>
        <w:pStyle w:val="ListParagraph"/>
        <w:numPr>
          <w:ilvl w:val="0"/>
          <w:numId w:val="10"/>
        </w:numPr>
        <w:spacing w:line="276" w:lineRule="auto"/>
        <w:jc w:val="both"/>
        <w:rPr>
          <w:rFonts w:ascii="TheSansOffice" w:hAnsi="TheSansOffice" w:cs="TheSansOffice"/>
          <w:color w:val="000000"/>
          <w:sz w:val="18"/>
          <w:szCs w:val="18"/>
          <w:lang w:eastAsia="en-AU"/>
        </w:rPr>
      </w:pPr>
      <w:r w:rsidRPr="002436C3">
        <w:rPr>
          <w:rFonts w:ascii="TheSansOffice" w:hAnsi="TheSansOffice" w:cs="TheSansOffice"/>
          <w:color w:val="000000"/>
          <w:sz w:val="18"/>
          <w:szCs w:val="18"/>
          <w:lang w:eastAsia="en-AU"/>
        </w:rPr>
        <w:lastRenderedPageBreak/>
        <w:t>If required, undertake a Fit Test as per the Respiratory Protection Program at commencement of employment and then annually</w:t>
      </w:r>
    </w:p>
    <w:p w:rsidR="00E35CE6" w:rsidRPr="00FD7424" w:rsidRDefault="00E35CE6" w:rsidP="00E35CE6">
      <w:pPr>
        <w:spacing w:line="276" w:lineRule="auto"/>
        <w:jc w:val="both"/>
        <w:rPr>
          <w:rFonts w:ascii="TheSansOffice" w:hAnsi="TheSansOffice" w:cs="Tahoma"/>
          <w:sz w:val="18"/>
          <w:szCs w:val="18"/>
        </w:rPr>
      </w:pPr>
    </w:p>
    <w:p w:rsidR="00E35CE6" w:rsidRDefault="00E35CE6" w:rsidP="00E35CE6">
      <w:pPr>
        <w:pStyle w:val="Heading1"/>
        <w:numPr>
          <w:ilvl w:val="0"/>
          <w:numId w:val="4"/>
        </w:numPr>
        <w:pBdr>
          <w:bottom w:val="single" w:sz="4" w:space="1" w:color="auto"/>
        </w:pBdr>
        <w:spacing w:line="276" w:lineRule="auto"/>
        <w:jc w:val="both"/>
        <w:rPr>
          <w:rFonts w:ascii="TheSansOffice" w:hAnsi="TheSansOffice"/>
          <w:sz w:val="18"/>
          <w:szCs w:val="18"/>
        </w:rPr>
      </w:pPr>
      <w:r>
        <w:rPr>
          <w:rFonts w:ascii="TheSansOffice" w:hAnsi="TheSansOffice"/>
          <w:sz w:val="18"/>
          <w:szCs w:val="18"/>
        </w:rPr>
        <w:t xml:space="preserve">INCUMBENT CAPABILIITY REQUIREMENTS (Level </w:t>
      </w:r>
      <w:r w:rsidR="002436C3">
        <w:rPr>
          <w:rFonts w:ascii="TheSansOffice" w:hAnsi="TheSansOffice"/>
          <w:sz w:val="18"/>
          <w:szCs w:val="18"/>
        </w:rPr>
        <w:t>3</w:t>
      </w:r>
      <w:r>
        <w:rPr>
          <w:rFonts w:ascii="TheSansOffice" w:hAnsi="TheSansOffice"/>
          <w:sz w:val="18"/>
          <w:szCs w:val="18"/>
        </w:rPr>
        <w:t>)</w:t>
      </w:r>
    </w:p>
    <w:p w:rsidR="00330B7D" w:rsidRDefault="00330B7D" w:rsidP="00E35CE6">
      <w:pPr>
        <w:jc w:val="both"/>
        <w:rPr>
          <w:rFonts w:ascii="TheSansOffice" w:hAnsi="TheSansOffice"/>
          <w:sz w:val="18"/>
          <w:szCs w:val="18"/>
        </w:rPr>
      </w:pPr>
    </w:p>
    <w:p w:rsidR="00E35CE6" w:rsidRDefault="00E35CE6" w:rsidP="00E35CE6">
      <w:pPr>
        <w:jc w:val="both"/>
        <w:rPr>
          <w:rFonts w:ascii="TheSansOffice" w:hAnsi="TheSansOffice"/>
          <w:sz w:val="18"/>
          <w:szCs w:val="18"/>
        </w:rPr>
      </w:pPr>
      <w:r>
        <w:rPr>
          <w:rFonts w:ascii="TheSansOffice" w:hAnsi="TheSansOffice"/>
          <w:sz w:val="18"/>
          <w:szCs w:val="18"/>
        </w:rPr>
        <w:t>The incumbent of this position will be expected to possess the following core capabilities:</w:t>
      </w:r>
    </w:p>
    <w:p w:rsidR="00E35CE6" w:rsidRDefault="00E35CE6" w:rsidP="00E35CE6">
      <w:pPr>
        <w:jc w:val="both"/>
        <w:rPr>
          <w:rFonts w:ascii="TheSansOffice" w:hAnsi="TheSansOffice"/>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3183"/>
        <w:gridCol w:w="4014"/>
      </w:tblGrid>
      <w:tr w:rsidR="00E35CE6" w:rsidRPr="001B6686" w:rsidTr="00330B7D">
        <w:tc>
          <w:tcPr>
            <w:tcW w:w="4361" w:type="dxa"/>
            <w:gridSpan w:val="2"/>
            <w:shd w:val="clear" w:color="auto" w:fill="auto"/>
          </w:tcPr>
          <w:p w:rsidR="00E35CE6" w:rsidRPr="001B6686" w:rsidRDefault="00E35CE6" w:rsidP="005204B5">
            <w:pPr>
              <w:spacing w:line="276" w:lineRule="auto"/>
              <w:jc w:val="both"/>
              <w:rPr>
                <w:rFonts w:asciiTheme="minorHAnsi" w:hAnsiTheme="minorHAnsi"/>
                <w:b/>
                <w:sz w:val="20"/>
                <w:szCs w:val="20"/>
              </w:rPr>
            </w:pPr>
            <w:r w:rsidRPr="001B6686">
              <w:rPr>
                <w:rFonts w:asciiTheme="minorHAnsi" w:hAnsiTheme="minorHAnsi"/>
                <w:b/>
                <w:sz w:val="20"/>
                <w:szCs w:val="20"/>
              </w:rPr>
              <w:t>Capability</w:t>
            </w:r>
          </w:p>
        </w:tc>
        <w:tc>
          <w:tcPr>
            <w:tcW w:w="4161" w:type="dxa"/>
            <w:shd w:val="clear" w:color="auto" w:fill="auto"/>
          </w:tcPr>
          <w:p w:rsidR="00E35CE6" w:rsidRPr="001B6686" w:rsidRDefault="00E35CE6" w:rsidP="005204B5">
            <w:pPr>
              <w:spacing w:line="276" w:lineRule="auto"/>
              <w:jc w:val="both"/>
              <w:rPr>
                <w:rFonts w:asciiTheme="minorHAnsi" w:hAnsiTheme="minorHAnsi"/>
                <w:b/>
                <w:sz w:val="20"/>
                <w:szCs w:val="20"/>
              </w:rPr>
            </w:pPr>
            <w:r w:rsidRPr="001B6686">
              <w:rPr>
                <w:rFonts w:asciiTheme="minorHAnsi" w:hAnsiTheme="minorHAnsi"/>
                <w:b/>
                <w:sz w:val="20"/>
                <w:szCs w:val="20"/>
              </w:rPr>
              <w:t>Demonstrated behaviour</w:t>
            </w:r>
          </w:p>
        </w:tc>
      </w:tr>
      <w:tr w:rsidR="00E35CE6" w:rsidRPr="001B6686" w:rsidTr="00330B7D">
        <w:tc>
          <w:tcPr>
            <w:tcW w:w="1101" w:type="dxa"/>
            <w:vMerge w:val="restart"/>
            <w:shd w:val="clear" w:color="auto" w:fill="auto"/>
          </w:tcPr>
          <w:p w:rsidR="00E35CE6" w:rsidRPr="001B6686" w:rsidRDefault="00E35CE6" w:rsidP="005204B5">
            <w:pPr>
              <w:spacing w:line="276" w:lineRule="auto"/>
              <w:jc w:val="both"/>
              <w:rPr>
                <w:rFonts w:asciiTheme="minorHAnsi" w:hAnsiTheme="minorHAnsi"/>
                <w:b/>
                <w:color w:val="000000"/>
                <w:sz w:val="20"/>
                <w:szCs w:val="20"/>
              </w:rPr>
            </w:pPr>
            <w:r w:rsidRPr="001B6686">
              <w:rPr>
                <w:rFonts w:asciiTheme="minorHAnsi" w:hAnsiTheme="minorHAnsi"/>
                <w:b/>
                <w:color w:val="000000"/>
                <w:sz w:val="20"/>
                <w:szCs w:val="20"/>
              </w:rPr>
              <w:t>Personal</w:t>
            </w:r>
          </w:p>
        </w:tc>
        <w:tc>
          <w:tcPr>
            <w:tcW w:w="3260" w:type="dxa"/>
            <w:shd w:val="clear" w:color="auto" w:fill="auto"/>
          </w:tcPr>
          <w:p w:rsidR="00E35CE6" w:rsidRPr="001B6686" w:rsidRDefault="00E35CE6" w:rsidP="005204B5">
            <w:pPr>
              <w:spacing w:line="276" w:lineRule="auto"/>
              <w:jc w:val="both"/>
              <w:rPr>
                <w:rFonts w:asciiTheme="minorHAnsi" w:hAnsiTheme="minorHAnsi"/>
                <w:sz w:val="20"/>
                <w:szCs w:val="20"/>
              </w:rPr>
            </w:pPr>
            <w:r w:rsidRPr="001B6686">
              <w:rPr>
                <w:rFonts w:asciiTheme="minorHAnsi" w:hAnsiTheme="minorHAnsi"/>
                <w:b/>
                <w:color w:val="000000"/>
                <w:sz w:val="20"/>
                <w:szCs w:val="20"/>
              </w:rPr>
              <w:t>Personal effectiveness</w:t>
            </w:r>
          </w:p>
        </w:tc>
        <w:tc>
          <w:tcPr>
            <w:tcW w:w="4161" w:type="dxa"/>
            <w:shd w:val="clear" w:color="auto" w:fill="auto"/>
          </w:tcPr>
          <w:p w:rsidR="00E35CE6" w:rsidRPr="001B6686" w:rsidRDefault="002436C3" w:rsidP="00330B7D">
            <w:pPr>
              <w:spacing w:line="276" w:lineRule="auto"/>
              <w:rPr>
                <w:rFonts w:asciiTheme="minorHAnsi" w:hAnsiTheme="minorHAnsi"/>
                <w:sz w:val="20"/>
                <w:szCs w:val="20"/>
              </w:rPr>
            </w:pPr>
            <w:r w:rsidRPr="002436C3">
              <w:rPr>
                <w:rFonts w:asciiTheme="minorHAnsi" w:hAnsiTheme="minorHAnsi"/>
                <w:sz w:val="20"/>
                <w:szCs w:val="20"/>
                <w:lang w:val="en-GB"/>
              </w:rPr>
              <w:t>Sets and measures team goals, driving pursuit of higher standards of practice</w:t>
            </w:r>
          </w:p>
        </w:tc>
      </w:tr>
      <w:tr w:rsidR="00E35CE6" w:rsidRPr="001B6686" w:rsidTr="00330B7D">
        <w:tc>
          <w:tcPr>
            <w:tcW w:w="1101" w:type="dxa"/>
            <w:vMerge/>
            <w:shd w:val="clear" w:color="auto" w:fill="auto"/>
          </w:tcPr>
          <w:p w:rsidR="00E35CE6" w:rsidRPr="001B6686" w:rsidRDefault="00E35CE6" w:rsidP="005204B5">
            <w:pPr>
              <w:spacing w:line="276" w:lineRule="auto"/>
              <w:jc w:val="both"/>
              <w:rPr>
                <w:rFonts w:asciiTheme="minorHAnsi" w:hAnsiTheme="minorHAnsi"/>
                <w:b/>
                <w:color w:val="000000"/>
                <w:sz w:val="20"/>
                <w:szCs w:val="20"/>
              </w:rPr>
            </w:pPr>
          </w:p>
        </w:tc>
        <w:tc>
          <w:tcPr>
            <w:tcW w:w="3260" w:type="dxa"/>
            <w:shd w:val="clear" w:color="auto" w:fill="auto"/>
          </w:tcPr>
          <w:p w:rsidR="00E35CE6" w:rsidRPr="001B6686" w:rsidRDefault="00E35CE6" w:rsidP="005204B5">
            <w:pPr>
              <w:spacing w:line="276" w:lineRule="auto"/>
              <w:jc w:val="both"/>
              <w:rPr>
                <w:rFonts w:asciiTheme="minorHAnsi" w:hAnsiTheme="minorHAnsi"/>
                <w:sz w:val="20"/>
                <w:szCs w:val="20"/>
              </w:rPr>
            </w:pPr>
            <w:r w:rsidRPr="001B6686">
              <w:rPr>
                <w:rFonts w:asciiTheme="minorHAnsi" w:hAnsiTheme="minorHAnsi"/>
                <w:b/>
                <w:color w:val="000000"/>
                <w:sz w:val="20"/>
                <w:szCs w:val="20"/>
              </w:rPr>
              <w:t>Learning Agility</w:t>
            </w:r>
          </w:p>
        </w:tc>
        <w:tc>
          <w:tcPr>
            <w:tcW w:w="4161" w:type="dxa"/>
            <w:shd w:val="clear" w:color="auto" w:fill="auto"/>
          </w:tcPr>
          <w:p w:rsidR="00E35CE6" w:rsidRPr="001B6686" w:rsidRDefault="002436C3" w:rsidP="00330B7D">
            <w:pPr>
              <w:spacing w:line="276" w:lineRule="auto"/>
              <w:rPr>
                <w:rFonts w:asciiTheme="minorHAnsi" w:hAnsiTheme="minorHAnsi"/>
                <w:sz w:val="20"/>
                <w:szCs w:val="20"/>
              </w:rPr>
            </w:pPr>
            <w:r w:rsidRPr="002436C3">
              <w:rPr>
                <w:rFonts w:asciiTheme="minorHAnsi" w:hAnsiTheme="minorHAnsi"/>
                <w:sz w:val="20"/>
                <w:szCs w:val="20"/>
                <w:lang w:val="en-GB"/>
              </w:rPr>
              <w:t>Responds to new and complex situations by adjusting behaviour appropriately</w:t>
            </w:r>
          </w:p>
        </w:tc>
      </w:tr>
      <w:tr w:rsidR="00E35CE6" w:rsidRPr="001B6686" w:rsidTr="00330B7D">
        <w:tc>
          <w:tcPr>
            <w:tcW w:w="1101" w:type="dxa"/>
            <w:vMerge w:val="restart"/>
            <w:shd w:val="clear" w:color="auto" w:fill="auto"/>
          </w:tcPr>
          <w:p w:rsidR="00E35CE6" w:rsidRPr="001B6686" w:rsidRDefault="00E35CE6" w:rsidP="005204B5">
            <w:pPr>
              <w:spacing w:line="276" w:lineRule="auto"/>
              <w:jc w:val="both"/>
              <w:rPr>
                <w:rFonts w:asciiTheme="minorHAnsi" w:hAnsiTheme="minorHAnsi"/>
                <w:b/>
                <w:color w:val="000000"/>
                <w:sz w:val="20"/>
                <w:szCs w:val="20"/>
              </w:rPr>
            </w:pPr>
            <w:r w:rsidRPr="001B6686">
              <w:rPr>
                <w:rFonts w:asciiTheme="minorHAnsi" w:hAnsiTheme="minorHAnsi"/>
                <w:b/>
                <w:color w:val="000000"/>
                <w:sz w:val="20"/>
                <w:szCs w:val="20"/>
              </w:rPr>
              <w:t>Outcomes</w:t>
            </w:r>
          </w:p>
        </w:tc>
        <w:tc>
          <w:tcPr>
            <w:tcW w:w="3260" w:type="dxa"/>
            <w:shd w:val="clear" w:color="auto" w:fill="auto"/>
          </w:tcPr>
          <w:p w:rsidR="00E35CE6" w:rsidRPr="001B6686" w:rsidRDefault="002436C3" w:rsidP="005204B5">
            <w:pPr>
              <w:spacing w:line="276" w:lineRule="auto"/>
              <w:jc w:val="both"/>
              <w:rPr>
                <w:rFonts w:asciiTheme="minorHAnsi" w:hAnsiTheme="minorHAnsi"/>
                <w:b/>
                <w:sz w:val="20"/>
                <w:szCs w:val="20"/>
              </w:rPr>
            </w:pPr>
            <w:r w:rsidRPr="002436C3">
              <w:rPr>
                <w:rFonts w:asciiTheme="minorHAnsi" w:hAnsiTheme="minorHAnsi"/>
                <w:b/>
                <w:sz w:val="20"/>
                <w:szCs w:val="20"/>
              </w:rPr>
              <w:t>Consumer/Resident centred</w:t>
            </w:r>
          </w:p>
        </w:tc>
        <w:tc>
          <w:tcPr>
            <w:tcW w:w="4161" w:type="dxa"/>
            <w:shd w:val="clear" w:color="auto" w:fill="auto"/>
          </w:tcPr>
          <w:p w:rsidR="00E35CE6" w:rsidRPr="001B6686" w:rsidRDefault="002436C3" w:rsidP="00330B7D">
            <w:pPr>
              <w:spacing w:line="276" w:lineRule="auto"/>
              <w:rPr>
                <w:rFonts w:asciiTheme="minorHAnsi" w:hAnsiTheme="minorHAnsi"/>
                <w:sz w:val="20"/>
                <w:szCs w:val="20"/>
              </w:rPr>
            </w:pPr>
            <w:r w:rsidRPr="002436C3">
              <w:rPr>
                <w:rFonts w:asciiTheme="minorHAnsi" w:hAnsiTheme="minorHAnsi"/>
                <w:sz w:val="20"/>
                <w:szCs w:val="20"/>
                <w:lang w:val="en-GB"/>
              </w:rPr>
              <w:t>Monitors satisfaction levels and proactively addresses issues</w:t>
            </w:r>
          </w:p>
        </w:tc>
      </w:tr>
      <w:tr w:rsidR="00E35CE6" w:rsidRPr="001B6686" w:rsidTr="00330B7D">
        <w:tc>
          <w:tcPr>
            <w:tcW w:w="1101" w:type="dxa"/>
            <w:vMerge/>
            <w:shd w:val="clear" w:color="auto" w:fill="auto"/>
          </w:tcPr>
          <w:p w:rsidR="00E35CE6" w:rsidRPr="001B6686" w:rsidRDefault="00E35CE6" w:rsidP="005204B5">
            <w:pPr>
              <w:spacing w:line="276" w:lineRule="auto"/>
              <w:jc w:val="both"/>
              <w:rPr>
                <w:rFonts w:asciiTheme="minorHAnsi" w:hAnsiTheme="minorHAnsi"/>
                <w:b/>
                <w:color w:val="000000"/>
                <w:sz w:val="20"/>
                <w:szCs w:val="20"/>
              </w:rPr>
            </w:pPr>
          </w:p>
        </w:tc>
        <w:tc>
          <w:tcPr>
            <w:tcW w:w="3260" w:type="dxa"/>
            <w:shd w:val="clear" w:color="auto" w:fill="auto"/>
          </w:tcPr>
          <w:p w:rsidR="00E35CE6" w:rsidRPr="001B6686" w:rsidRDefault="00E35CE6" w:rsidP="005204B5">
            <w:pPr>
              <w:spacing w:line="276" w:lineRule="auto"/>
              <w:jc w:val="both"/>
              <w:rPr>
                <w:rFonts w:asciiTheme="minorHAnsi" w:hAnsiTheme="minorHAnsi"/>
                <w:b/>
                <w:sz w:val="20"/>
                <w:szCs w:val="20"/>
              </w:rPr>
            </w:pPr>
            <w:r w:rsidRPr="001B6686">
              <w:rPr>
                <w:rFonts w:asciiTheme="minorHAnsi" w:hAnsiTheme="minorHAnsi"/>
                <w:b/>
                <w:sz w:val="20"/>
                <w:szCs w:val="20"/>
              </w:rPr>
              <w:t>Innovation and Improvement</w:t>
            </w:r>
          </w:p>
        </w:tc>
        <w:tc>
          <w:tcPr>
            <w:tcW w:w="4161" w:type="dxa"/>
            <w:shd w:val="clear" w:color="auto" w:fill="auto"/>
          </w:tcPr>
          <w:p w:rsidR="00E35CE6" w:rsidRPr="001B6686" w:rsidRDefault="00330B7D" w:rsidP="00330B7D">
            <w:pPr>
              <w:spacing w:line="276" w:lineRule="auto"/>
              <w:rPr>
                <w:rFonts w:asciiTheme="minorHAnsi" w:hAnsiTheme="minorHAnsi"/>
                <w:sz w:val="20"/>
                <w:szCs w:val="20"/>
              </w:rPr>
            </w:pPr>
            <w:r>
              <w:rPr>
                <w:rFonts w:asciiTheme="minorHAnsi" w:hAnsiTheme="minorHAnsi"/>
                <w:sz w:val="20"/>
                <w:szCs w:val="20"/>
                <w:lang w:val="en-GB"/>
              </w:rPr>
              <w:t xml:space="preserve">Anticipates </w:t>
            </w:r>
            <w:r w:rsidR="002436C3" w:rsidRPr="002436C3">
              <w:rPr>
                <w:rFonts w:asciiTheme="minorHAnsi" w:hAnsiTheme="minorHAnsi"/>
                <w:sz w:val="20"/>
                <w:szCs w:val="20"/>
                <w:lang w:val="en-GB"/>
              </w:rPr>
              <w:t>problems and continuously improves systems and processes</w:t>
            </w:r>
          </w:p>
        </w:tc>
      </w:tr>
      <w:tr w:rsidR="00E35CE6" w:rsidRPr="001B6686" w:rsidTr="00330B7D">
        <w:tc>
          <w:tcPr>
            <w:tcW w:w="1101" w:type="dxa"/>
            <w:vMerge w:val="restart"/>
            <w:shd w:val="clear" w:color="auto" w:fill="auto"/>
          </w:tcPr>
          <w:p w:rsidR="00E35CE6" w:rsidRPr="001B6686" w:rsidRDefault="00E35CE6" w:rsidP="005204B5">
            <w:pPr>
              <w:spacing w:line="276" w:lineRule="auto"/>
              <w:jc w:val="both"/>
              <w:rPr>
                <w:rFonts w:asciiTheme="minorHAnsi" w:hAnsiTheme="minorHAnsi"/>
                <w:b/>
                <w:sz w:val="20"/>
                <w:szCs w:val="20"/>
              </w:rPr>
            </w:pPr>
            <w:r w:rsidRPr="001B6686">
              <w:rPr>
                <w:rFonts w:asciiTheme="minorHAnsi" w:hAnsiTheme="minorHAnsi"/>
                <w:b/>
                <w:sz w:val="20"/>
                <w:szCs w:val="20"/>
              </w:rPr>
              <w:t>Strategy</w:t>
            </w:r>
          </w:p>
        </w:tc>
        <w:tc>
          <w:tcPr>
            <w:tcW w:w="3260" w:type="dxa"/>
            <w:shd w:val="clear" w:color="auto" w:fill="auto"/>
          </w:tcPr>
          <w:p w:rsidR="00E35CE6" w:rsidRPr="001B6686" w:rsidRDefault="00E35CE6" w:rsidP="005204B5">
            <w:pPr>
              <w:spacing w:line="276" w:lineRule="auto"/>
              <w:jc w:val="both"/>
              <w:rPr>
                <w:rFonts w:asciiTheme="minorHAnsi" w:hAnsiTheme="minorHAnsi"/>
                <w:sz w:val="20"/>
                <w:szCs w:val="20"/>
              </w:rPr>
            </w:pPr>
            <w:r w:rsidRPr="001B6686">
              <w:rPr>
                <w:rFonts w:asciiTheme="minorHAnsi" w:hAnsiTheme="minorHAnsi"/>
                <w:b/>
                <w:color w:val="000000"/>
                <w:sz w:val="20"/>
                <w:szCs w:val="20"/>
              </w:rPr>
              <w:t xml:space="preserve">Driving Results  </w:t>
            </w:r>
          </w:p>
        </w:tc>
        <w:tc>
          <w:tcPr>
            <w:tcW w:w="4161" w:type="dxa"/>
            <w:shd w:val="clear" w:color="auto" w:fill="auto"/>
          </w:tcPr>
          <w:p w:rsidR="00E35CE6" w:rsidRPr="001B6686" w:rsidRDefault="002436C3" w:rsidP="00330B7D">
            <w:pPr>
              <w:spacing w:line="276" w:lineRule="auto"/>
              <w:rPr>
                <w:rFonts w:asciiTheme="minorHAnsi" w:hAnsiTheme="minorHAnsi"/>
                <w:sz w:val="20"/>
                <w:szCs w:val="20"/>
              </w:rPr>
            </w:pPr>
            <w:r w:rsidRPr="002436C3">
              <w:rPr>
                <w:rFonts w:asciiTheme="minorHAnsi" w:hAnsiTheme="minorHAnsi"/>
                <w:sz w:val="20"/>
                <w:szCs w:val="20"/>
                <w:lang w:val="en-GB"/>
              </w:rPr>
              <w:t>Takes ownership for performance of team results</w:t>
            </w:r>
          </w:p>
        </w:tc>
      </w:tr>
      <w:tr w:rsidR="00E35CE6" w:rsidRPr="001B6686" w:rsidTr="00330B7D">
        <w:tc>
          <w:tcPr>
            <w:tcW w:w="1101" w:type="dxa"/>
            <w:vMerge/>
            <w:shd w:val="clear" w:color="auto" w:fill="auto"/>
          </w:tcPr>
          <w:p w:rsidR="00E35CE6" w:rsidRPr="001B6686" w:rsidRDefault="00E35CE6" w:rsidP="005204B5">
            <w:pPr>
              <w:spacing w:line="276" w:lineRule="auto"/>
              <w:jc w:val="both"/>
              <w:rPr>
                <w:rFonts w:asciiTheme="minorHAnsi" w:hAnsiTheme="minorHAnsi"/>
                <w:b/>
                <w:color w:val="000000"/>
                <w:sz w:val="20"/>
                <w:szCs w:val="20"/>
              </w:rPr>
            </w:pPr>
          </w:p>
        </w:tc>
        <w:tc>
          <w:tcPr>
            <w:tcW w:w="3260" w:type="dxa"/>
            <w:shd w:val="clear" w:color="auto" w:fill="auto"/>
          </w:tcPr>
          <w:p w:rsidR="00E35CE6" w:rsidRPr="001B6686" w:rsidRDefault="00E35CE6" w:rsidP="005204B5">
            <w:pPr>
              <w:spacing w:line="276" w:lineRule="auto"/>
              <w:jc w:val="both"/>
              <w:rPr>
                <w:rFonts w:asciiTheme="minorHAnsi" w:hAnsiTheme="minorHAnsi"/>
                <w:sz w:val="20"/>
                <w:szCs w:val="20"/>
              </w:rPr>
            </w:pPr>
            <w:r w:rsidRPr="001B6686">
              <w:rPr>
                <w:rFonts w:asciiTheme="minorHAnsi" w:hAnsiTheme="minorHAnsi"/>
                <w:b/>
                <w:color w:val="000000"/>
                <w:sz w:val="20"/>
                <w:szCs w:val="20"/>
              </w:rPr>
              <w:t>Organisational Acumen</w:t>
            </w:r>
          </w:p>
        </w:tc>
        <w:tc>
          <w:tcPr>
            <w:tcW w:w="4161" w:type="dxa"/>
            <w:shd w:val="clear" w:color="auto" w:fill="auto"/>
          </w:tcPr>
          <w:p w:rsidR="00E35CE6" w:rsidRPr="001B6686" w:rsidRDefault="002436C3" w:rsidP="00330B7D">
            <w:pPr>
              <w:spacing w:line="276" w:lineRule="auto"/>
              <w:rPr>
                <w:rFonts w:asciiTheme="minorHAnsi" w:hAnsiTheme="minorHAnsi"/>
                <w:sz w:val="20"/>
                <w:szCs w:val="20"/>
              </w:rPr>
            </w:pPr>
            <w:r w:rsidRPr="002436C3">
              <w:rPr>
                <w:rFonts w:asciiTheme="minorHAnsi" w:hAnsiTheme="minorHAnsi"/>
                <w:sz w:val="20"/>
                <w:szCs w:val="20"/>
                <w:lang w:val="en-GB"/>
              </w:rPr>
              <w:t>Uses information and organisational knowledge to make decisions and achieve results</w:t>
            </w:r>
          </w:p>
        </w:tc>
      </w:tr>
      <w:tr w:rsidR="00E35CE6" w:rsidRPr="001B6686" w:rsidTr="00330B7D">
        <w:trPr>
          <w:trHeight w:val="384"/>
        </w:trPr>
        <w:tc>
          <w:tcPr>
            <w:tcW w:w="1101" w:type="dxa"/>
            <w:vMerge w:val="restart"/>
            <w:shd w:val="clear" w:color="auto" w:fill="auto"/>
          </w:tcPr>
          <w:p w:rsidR="00E35CE6" w:rsidRPr="001B6686" w:rsidRDefault="00E35CE6" w:rsidP="005204B5">
            <w:pPr>
              <w:spacing w:line="276" w:lineRule="auto"/>
              <w:jc w:val="both"/>
              <w:rPr>
                <w:rFonts w:asciiTheme="minorHAnsi" w:hAnsiTheme="minorHAnsi"/>
                <w:b/>
                <w:color w:val="000000"/>
                <w:sz w:val="20"/>
                <w:szCs w:val="20"/>
              </w:rPr>
            </w:pPr>
            <w:r w:rsidRPr="001B6686">
              <w:rPr>
                <w:rFonts w:asciiTheme="minorHAnsi" w:hAnsiTheme="minorHAnsi"/>
                <w:b/>
                <w:color w:val="000000"/>
                <w:sz w:val="20"/>
                <w:szCs w:val="20"/>
              </w:rPr>
              <w:t>People</w:t>
            </w:r>
          </w:p>
        </w:tc>
        <w:tc>
          <w:tcPr>
            <w:tcW w:w="3260" w:type="dxa"/>
            <w:shd w:val="clear" w:color="auto" w:fill="auto"/>
          </w:tcPr>
          <w:p w:rsidR="00E35CE6" w:rsidRPr="001B6686" w:rsidRDefault="00E35CE6" w:rsidP="005204B5">
            <w:pPr>
              <w:spacing w:line="276" w:lineRule="auto"/>
              <w:jc w:val="both"/>
              <w:rPr>
                <w:rFonts w:asciiTheme="minorHAnsi" w:hAnsiTheme="minorHAnsi"/>
                <w:b/>
                <w:color w:val="000000"/>
                <w:sz w:val="20"/>
                <w:szCs w:val="20"/>
              </w:rPr>
            </w:pPr>
            <w:r w:rsidRPr="001B6686">
              <w:rPr>
                <w:rFonts w:asciiTheme="minorHAnsi" w:hAnsiTheme="minorHAnsi"/>
                <w:b/>
                <w:color w:val="000000"/>
                <w:sz w:val="20"/>
                <w:szCs w:val="20"/>
              </w:rPr>
              <w:t>Working with and Managing others</w:t>
            </w:r>
          </w:p>
        </w:tc>
        <w:tc>
          <w:tcPr>
            <w:tcW w:w="4161" w:type="dxa"/>
            <w:shd w:val="clear" w:color="auto" w:fill="auto"/>
          </w:tcPr>
          <w:p w:rsidR="00E35CE6" w:rsidRPr="001B6686" w:rsidRDefault="00330B7D" w:rsidP="00330B7D">
            <w:pPr>
              <w:spacing w:line="276" w:lineRule="auto"/>
              <w:rPr>
                <w:rFonts w:asciiTheme="minorHAnsi" w:hAnsiTheme="minorHAnsi"/>
                <w:sz w:val="20"/>
                <w:szCs w:val="20"/>
              </w:rPr>
            </w:pPr>
            <w:r w:rsidRPr="00330B7D">
              <w:rPr>
                <w:rFonts w:asciiTheme="minorHAnsi" w:hAnsiTheme="minorHAnsi"/>
                <w:sz w:val="20"/>
                <w:szCs w:val="20"/>
                <w:lang w:val="en-GB"/>
              </w:rPr>
              <w:t>Leads others and shares responsibilities, providing support and effective communication</w:t>
            </w:r>
          </w:p>
        </w:tc>
      </w:tr>
      <w:tr w:rsidR="00E35CE6" w:rsidRPr="001B6686" w:rsidTr="00330B7D">
        <w:tc>
          <w:tcPr>
            <w:tcW w:w="1101" w:type="dxa"/>
            <w:vMerge/>
            <w:shd w:val="clear" w:color="auto" w:fill="auto"/>
          </w:tcPr>
          <w:p w:rsidR="00E35CE6" w:rsidRPr="001B6686" w:rsidRDefault="00E35CE6" w:rsidP="005204B5">
            <w:pPr>
              <w:spacing w:line="276" w:lineRule="auto"/>
              <w:jc w:val="both"/>
              <w:rPr>
                <w:rFonts w:asciiTheme="minorHAnsi" w:hAnsiTheme="minorHAnsi"/>
                <w:b/>
                <w:color w:val="000000"/>
                <w:sz w:val="20"/>
                <w:szCs w:val="20"/>
              </w:rPr>
            </w:pPr>
          </w:p>
        </w:tc>
        <w:tc>
          <w:tcPr>
            <w:tcW w:w="3260" w:type="dxa"/>
            <w:shd w:val="clear" w:color="auto" w:fill="auto"/>
          </w:tcPr>
          <w:p w:rsidR="00E35CE6" w:rsidRPr="001B6686" w:rsidRDefault="00E35CE6" w:rsidP="005204B5">
            <w:pPr>
              <w:spacing w:line="276" w:lineRule="auto"/>
              <w:jc w:val="both"/>
              <w:rPr>
                <w:rFonts w:asciiTheme="minorHAnsi" w:hAnsiTheme="minorHAnsi"/>
                <w:b/>
                <w:color w:val="000000"/>
                <w:sz w:val="20"/>
                <w:szCs w:val="20"/>
              </w:rPr>
            </w:pPr>
            <w:r w:rsidRPr="001B6686">
              <w:rPr>
                <w:rFonts w:asciiTheme="minorHAnsi" w:hAnsiTheme="minorHAnsi"/>
                <w:b/>
                <w:color w:val="000000"/>
                <w:sz w:val="20"/>
                <w:szCs w:val="20"/>
              </w:rPr>
              <w:t>Collaboration</w:t>
            </w:r>
          </w:p>
        </w:tc>
        <w:tc>
          <w:tcPr>
            <w:tcW w:w="4161" w:type="dxa"/>
            <w:shd w:val="clear" w:color="auto" w:fill="auto"/>
          </w:tcPr>
          <w:p w:rsidR="00E35CE6" w:rsidRPr="001B6686" w:rsidRDefault="00330B7D" w:rsidP="00330B7D">
            <w:pPr>
              <w:spacing w:line="276" w:lineRule="auto"/>
              <w:rPr>
                <w:rFonts w:asciiTheme="minorHAnsi" w:hAnsiTheme="minorHAnsi"/>
                <w:sz w:val="20"/>
                <w:szCs w:val="20"/>
              </w:rPr>
            </w:pPr>
            <w:r w:rsidRPr="00330B7D">
              <w:rPr>
                <w:rFonts w:asciiTheme="minorHAnsi" w:hAnsiTheme="minorHAnsi"/>
                <w:sz w:val="20"/>
                <w:szCs w:val="20"/>
                <w:lang w:val="en-GB"/>
              </w:rPr>
              <w:t>Operates Cross functionally and develops constructive relationships across the organisation</w:t>
            </w:r>
          </w:p>
        </w:tc>
      </w:tr>
    </w:tbl>
    <w:p w:rsidR="00E35CE6" w:rsidRPr="00CB44A7" w:rsidRDefault="00E35CE6" w:rsidP="00E35CE6">
      <w:pPr>
        <w:jc w:val="both"/>
        <w:rPr>
          <w:rFonts w:ascii="TheSansOffice" w:hAnsi="TheSansOffice"/>
          <w:sz w:val="18"/>
          <w:szCs w:val="18"/>
        </w:rPr>
      </w:pPr>
    </w:p>
    <w:p w:rsidR="00E35CE6" w:rsidRDefault="00E35CE6" w:rsidP="00E35CE6">
      <w:pPr>
        <w:pStyle w:val="Heading1"/>
        <w:numPr>
          <w:ilvl w:val="0"/>
          <w:numId w:val="4"/>
        </w:numPr>
        <w:pBdr>
          <w:bottom w:val="single" w:sz="4" w:space="0" w:color="auto"/>
        </w:pBdr>
        <w:spacing w:line="276" w:lineRule="auto"/>
        <w:jc w:val="both"/>
        <w:rPr>
          <w:rFonts w:ascii="TheSansOffice" w:hAnsi="TheSansOffice"/>
          <w:sz w:val="18"/>
          <w:szCs w:val="18"/>
        </w:rPr>
      </w:pPr>
      <w:r>
        <w:rPr>
          <w:rFonts w:ascii="TheSansOffice" w:hAnsi="TheSansOffice"/>
          <w:sz w:val="18"/>
          <w:szCs w:val="18"/>
        </w:rPr>
        <w:t>SELECTION CRITERIA</w:t>
      </w:r>
    </w:p>
    <w:p w:rsidR="00E35CE6" w:rsidRDefault="00E35CE6" w:rsidP="00E35CE6">
      <w:pPr>
        <w:pStyle w:val="Heading1"/>
        <w:numPr>
          <w:ilvl w:val="1"/>
          <w:numId w:val="4"/>
        </w:numPr>
        <w:pBdr>
          <w:bottom w:val="single" w:sz="4" w:space="1" w:color="auto"/>
        </w:pBdr>
        <w:spacing w:line="276" w:lineRule="auto"/>
        <w:jc w:val="both"/>
        <w:rPr>
          <w:rFonts w:ascii="TheSansOffice" w:hAnsi="TheSansOffice"/>
          <w:sz w:val="18"/>
          <w:szCs w:val="18"/>
        </w:rPr>
      </w:pPr>
      <w:r>
        <w:rPr>
          <w:rFonts w:ascii="TheSansOffice" w:hAnsi="TheSansOffice"/>
          <w:sz w:val="18"/>
          <w:szCs w:val="18"/>
        </w:rPr>
        <w:t>ESSENTIAL REGISTRATION, LICENSE OR QUALIFICATION REQUIREMENTS</w:t>
      </w:r>
    </w:p>
    <w:p w:rsidR="00330B7D" w:rsidRDefault="00330B7D" w:rsidP="00330B7D">
      <w:pPr>
        <w:pStyle w:val="ListParagraph"/>
        <w:spacing w:line="276" w:lineRule="auto"/>
        <w:ind w:left="360"/>
        <w:rPr>
          <w:rFonts w:ascii="TheSansOffice" w:hAnsi="TheSansOffice" w:cs="Tahoma"/>
          <w:bCs/>
          <w:sz w:val="18"/>
          <w:szCs w:val="18"/>
        </w:rPr>
      </w:pPr>
    </w:p>
    <w:p w:rsidR="00330B7D" w:rsidRPr="00330B7D" w:rsidRDefault="00330B7D" w:rsidP="00330B7D">
      <w:pPr>
        <w:pStyle w:val="ListParagraph"/>
        <w:numPr>
          <w:ilvl w:val="0"/>
          <w:numId w:val="6"/>
        </w:numPr>
        <w:spacing w:line="276" w:lineRule="auto"/>
        <w:rPr>
          <w:rFonts w:ascii="TheSansOffice" w:hAnsi="TheSansOffice" w:cs="Tahoma"/>
          <w:bCs/>
          <w:sz w:val="18"/>
          <w:szCs w:val="18"/>
        </w:rPr>
      </w:pPr>
      <w:r w:rsidRPr="00330B7D">
        <w:rPr>
          <w:rFonts w:ascii="TheSansOffice" w:hAnsi="TheSansOffice" w:cs="Tahoma"/>
          <w:bCs/>
          <w:sz w:val="18"/>
          <w:szCs w:val="18"/>
        </w:rPr>
        <w:t>Bachelor Degree in either Occupational Therapy or Social Work, Clinical Masters in Psychology and current Registration as a Psychologist under the Health Professions Registration Act 2005 (Vic), Division 3 or Division 1 Nurse with Psychiatric Endorsement from the AHPRA</w:t>
      </w:r>
    </w:p>
    <w:p w:rsidR="00330B7D" w:rsidRPr="00330B7D" w:rsidRDefault="00330B7D" w:rsidP="00330B7D">
      <w:pPr>
        <w:pStyle w:val="ListParagraph"/>
        <w:numPr>
          <w:ilvl w:val="0"/>
          <w:numId w:val="6"/>
        </w:numPr>
        <w:spacing w:line="276" w:lineRule="auto"/>
        <w:rPr>
          <w:rFonts w:ascii="TheSansOffice" w:hAnsi="TheSansOffice" w:cs="Tahoma"/>
          <w:bCs/>
          <w:sz w:val="18"/>
          <w:szCs w:val="18"/>
        </w:rPr>
      </w:pPr>
      <w:r w:rsidRPr="00330B7D">
        <w:rPr>
          <w:rFonts w:ascii="TheSansOffice" w:hAnsi="TheSansOffice" w:cs="Tahoma"/>
          <w:bCs/>
          <w:sz w:val="18"/>
          <w:szCs w:val="18"/>
        </w:rPr>
        <w:t>Occupational Therapy, Clinical Psychology and nursing - Current registration or eligibility for membership with the Australian Health Practitioner Regulation Agency (AHPRA)</w:t>
      </w:r>
    </w:p>
    <w:p w:rsidR="00330B7D" w:rsidRPr="00330B7D" w:rsidRDefault="00330B7D" w:rsidP="00330B7D">
      <w:pPr>
        <w:pStyle w:val="ListParagraph"/>
        <w:numPr>
          <w:ilvl w:val="0"/>
          <w:numId w:val="6"/>
        </w:numPr>
        <w:spacing w:line="276" w:lineRule="auto"/>
        <w:rPr>
          <w:rFonts w:ascii="TheSansOffice" w:hAnsi="TheSansOffice" w:cs="Tahoma"/>
          <w:bCs/>
          <w:sz w:val="18"/>
          <w:szCs w:val="18"/>
        </w:rPr>
      </w:pPr>
      <w:r w:rsidRPr="00330B7D">
        <w:rPr>
          <w:rFonts w:ascii="TheSansOffice" w:hAnsi="TheSansOffice" w:cs="Tahoma"/>
          <w:bCs/>
          <w:sz w:val="18"/>
          <w:szCs w:val="18"/>
        </w:rPr>
        <w:t>Social Work – Current registration with AASW or eligibility for AASW registration.  AASW Mental Health Accreditation is highly regarded.  Overseas qualified Social Workers to provide evidence of AASW assessment of qualifications</w:t>
      </w:r>
    </w:p>
    <w:p w:rsidR="00330B7D" w:rsidRPr="00330B7D" w:rsidRDefault="00330B7D" w:rsidP="00330B7D">
      <w:pPr>
        <w:pStyle w:val="ListParagraph"/>
        <w:numPr>
          <w:ilvl w:val="0"/>
          <w:numId w:val="6"/>
        </w:numPr>
        <w:spacing w:line="276" w:lineRule="auto"/>
        <w:rPr>
          <w:rFonts w:ascii="TheSansOffice" w:hAnsi="TheSansOffice" w:cs="Tahoma"/>
          <w:bCs/>
          <w:sz w:val="18"/>
          <w:szCs w:val="18"/>
        </w:rPr>
      </w:pPr>
      <w:r w:rsidRPr="00330B7D">
        <w:rPr>
          <w:rFonts w:ascii="TheSansOffice" w:hAnsi="TheSansOffice" w:cs="Tahoma"/>
          <w:bCs/>
          <w:sz w:val="18"/>
          <w:szCs w:val="18"/>
        </w:rPr>
        <w:t xml:space="preserve">Clinical Psychology – Practice Endorsement as a ‘Clinical’ Psychologist with AHPRA or engaged in an approved registrar program towards ‘Clinical’ endorsement. </w:t>
      </w:r>
    </w:p>
    <w:p w:rsidR="00E35CE6" w:rsidRPr="00E927A2" w:rsidRDefault="00330B7D" w:rsidP="00330B7D">
      <w:pPr>
        <w:pStyle w:val="ListParagraph"/>
        <w:numPr>
          <w:ilvl w:val="0"/>
          <w:numId w:val="6"/>
        </w:numPr>
        <w:spacing w:line="276" w:lineRule="auto"/>
        <w:rPr>
          <w:rFonts w:ascii="TheSansOffice" w:hAnsi="TheSansOffice" w:cs="Tahoma"/>
          <w:bCs/>
          <w:sz w:val="18"/>
          <w:szCs w:val="18"/>
        </w:rPr>
      </w:pPr>
      <w:r w:rsidRPr="00E927A2">
        <w:rPr>
          <w:rFonts w:ascii="TheSansOffice" w:hAnsi="TheSansOffice" w:cs="Tahoma"/>
          <w:bCs/>
          <w:sz w:val="18"/>
          <w:szCs w:val="18"/>
        </w:rPr>
        <w:t>Current Victorian driver’s license</w:t>
      </w:r>
    </w:p>
    <w:p w:rsidR="00330B7D" w:rsidRPr="00330B7D" w:rsidRDefault="00330B7D" w:rsidP="00330B7D">
      <w:pPr>
        <w:pStyle w:val="ListParagraph"/>
        <w:spacing w:line="276" w:lineRule="auto"/>
        <w:ind w:left="360"/>
        <w:rPr>
          <w:rFonts w:ascii="TheSansOffice" w:hAnsi="TheSansOffice" w:cs="Tahoma"/>
          <w:bCs/>
          <w:sz w:val="18"/>
          <w:szCs w:val="18"/>
        </w:rPr>
      </w:pPr>
    </w:p>
    <w:p w:rsidR="00E35CE6" w:rsidRPr="0026059F" w:rsidRDefault="00E35CE6" w:rsidP="00E35CE6">
      <w:pPr>
        <w:pStyle w:val="Heading1"/>
        <w:numPr>
          <w:ilvl w:val="1"/>
          <w:numId w:val="4"/>
        </w:numPr>
        <w:pBdr>
          <w:bottom w:val="single" w:sz="4" w:space="1" w:color="auto"/>
        </w:pBdr>
        <w:spacing w:line="276" w:lineRule="auto"/>
        <w:jc w:val="both"/>
        <w:rPr>
          <w:rFonts w:ascii="TheSansOffice" w:hAnsi="TheSansOffice"/>
          <w:sz w:val="18"/>
          <w:szCs w:val="18"/>
        </w:rPr>
      </w:pPr>
      <w:r>
        <w:rPr>
          <w:rFonts w:ascii="TheSansOffice" w:hAnsi="TheSansOffice"/>
          <w:sz w:val="18"/>
          <w:szCs w:val="18"/>
        </w:rPr>
        <w:t>OTHER ESSENTIAL REQUIREMENTS</w:t>
      </w:r>
    </w:p>
    <w:p w:rsidR="00E35CE6" w:rsidRDefault="00E35CE6" w:rsidP="00E35CE6">
      <w:pPr>
        <w:spacing w:line="276" w:lineRule="auto"/>
        <w:jc w:val="both"/>
        <w:rPr>
          <w:rFonts w:ascii="TheSansOffice" w:hAnsi="TheSansOffice" w:cs="Tahoma"/>
          <w:bCs/>
          <w:sz w:val="18"/>
          <w:szCs w:val="18"/>
          <w:highlight w:val="yellow"/>
        </w:rPr>
      </w:pPr>
    </w:p>
    <w:p w:rsidR="00330B7D" w:rsidRPr="00330B7D" w:rsidRDefault="00330B7D" w:rsidP="00330B7D">
      <w:pPr>
        <w:pStyle w:val="ListParagraph"/>
        <w:numPr>
          <w:ilvl w:val="0"/>
          <w:numId w:val="12"/>
        </w:numPr>
        <w:spacing w:line="276" w:lineRule="auto"/>
        <w:jc w:val="both"/>
        <w:rPr>
          <w:rFonts w:ascii="TheSansOffice" w:hAnsi="TheSansOffice" w:cs="Tahoma"/>
          <w:bCs/>
          <w:sz w:val="18"/>
          <w:szCs w:val="18"/>
        </w:rPr>
      </w:pPr>
      <w:r w:rsidRPr="00330B7D">
        <w:rPr>
          <w:rFonts w:ascii="TheSansOffice" w:hAnsi="TheSansOffice" w:cs="Tahoma"/>
          <w:bCs/>
          <w:sz w:val="18"/>
          <w:szCs w:val="18"/>
        </w:rPr>
        <w:t>A minimum of at least 5 years post qualification clinical experience within Mental Health Services</w:t>
      </w:r>
      <w:r w:rsidR="0068304B">
        <w:rPr>
          <w:rFonts w:ascii="TheSansOffice" w:hAnsi="TheSansOffice" w:cs="Tahoma"/>
          <w:bCs/>
          <w:sz w:val="18"/>
          <w:szCs w:val="18"/>
        </w:rPr>
        <w:t xml:space="preserve"> and AOD</w:t>
      </w:r>
    </w:p>
    <w:p w:rsidR="00330B7D" w:rsidRDefault="00330B7D" w:rsidP="00330B7D">
      <w:pPr>
        <w:pStyle w:val="ListParagraph"/>
        <w:numPr>
          <w:ilvl w:val="0"/>
          <w:numId w:val="12"/>
        </w:numPr>
        <w:spacing w:line="276" w:lineRule="auto"/>
        <w:jc w:val="both"/>
        <w:rPr>
          <w:rFonts w:ascii="TheSansOffice" w:hAnsi="TheSansOffice" w:cs="Tahoma"/>
          <w:bCs/>
          <w:sz w:val="18"/>
          <w:szCs w:val="18"/>
        </w:rPr>
      </w:pPr>
      <w:r w:rsidRPr="00330B7D">
        <w:rPr>
          <w:rFonts w:ascii="TheSansOffice" w:hAnsi="TheSansOffice" w:cs="Tahoma"/>
          <w:bCs/>
          <w:sz w:val="18"/>
          <w:szCs w:val="18"/>
        </w:rPr>
        <w:t xml:space="preserve">Proven ability and experience in leading project management and in particular stakeholder engagement and change management approaches   </w:t>
      </w:r>
    </w:p>
    <w:p w:rsidR="00330B7D" w:rsidRPr="00330B7D" w:rsidRDefault="00330B7D" w:rsidP="00330B7D">
      <w:pPr>
        <w:pStyle w:val="ListParagraph"/>
        <w:numPr>
          <w:ilvl w:val="0"/>
          <w:numId w:val="12"/>
        </w:numPr>
        <w:spacing w:line="276" w:lineRule="auto"/>
        <w:jc w:val="both"/>
        <w:rPr>
          <w:rFonts w:ascii="TheSansOffice" w:hAnsi="TheSansOffice" w:cs="Tahoma"/>
          <w:bCs/>
          <w:sz w:val="18"/>
          <w:szCs w:val="18"/>
        </w:rPr>
      </w:pPr>
      <w:r w:rsidRPr="00330B7D">
        <w:rPr>
          <w:rFonts w:ascii="TheSansOffice" w:hAnsi="TheSansOffice" w:cs="Tahoma"/>
          <w:bCs/>
          <w:sz w:val="18"/>
          <w:szCs w:val="18"/>
        </w:rPr>
        <w:lastRenderedPageBreak/>
        <w:t>Sound working knowledge of co-design principles</w:t>
      </w:r>
    </w:p>
    <w:p w:rsidR="00330B7D" w:rsidRPr="00330B7D" w:rsidRDefault="00330B7D" w:rsidP="00330B7D">
      <w:pPr>
        <w:pStyle w:val="ListParagraph"/>
        <w:numPr>
          <w:ilvl w:val="0"/>
          <w:numId w:val="12"/>
        </w:numPr>
        <w:spacing w:line="276" w:lineRule="auto"/>
        <w:jc w:val="both"/>
        <w:rPr>
          <w:rFonts w:ascii="TheSansOffice" w:hAnsi="TheSansOffice" w:cs="Tahoma"/>
          <w:bCs/>
          <w:sz w:val="18"/>
          <w:szCs w:val="18"/>
        </w:rPr>
      </w:pPr>
      <w:r w:rsidRPr="00330B7D">
        <w:rPr>
          <w:rFonts w:ascii="TheSansOffice" w:hAnsi="TheSansOffice" w:cs="Tahoma"/>
          <w:bCs/>
          <w:sz w:val="18"/>
          <w:szCs w:val="18"/>
        </w:rPr>
        <w:t>Commitment to:</w:t>
      </w:r>
    </w:p>
    <w:p w:rsidR="00330B7D" w:rsidRPr="00330B7D" w:rsidRDefault="00330B7D" w:rsidP="00330B7D">
      <w:pPr>
        <w:pStyle w:val="ListParagraph"/>
        <w:numPr>
          <w:ilvl w:val="1"/>
          <w:numId w:val="12"/>
        </w:numPr>
        <w:spacing w:line="276" w:lineRule="auto"/>
        <w:jc w:val="both"/>
        <w:rPr>
          <w:rFonts w:ascii="TheSansOffice" w:hAnsi="TheSansOffice" w:cs="Tahoma"/>
          <w:bCs/>
          <w:sz w:val="18"/>
          <w:szCs w:val="18"/>
        </w:rPr>
      </w:pPr>
      <w:r w:rsidRPr="00330B7D">
        <w:rPr>
          <w:rFonts w:ascii="TheSansOffice" w:hAnsi="TheSansOffice" w:cs="Tahoma"/>
          <w:bCs/>
          <w:sz w:val="18"/>
          <w:szCs w:val="18"/>
        </w:rPr>
        <w:t xml:space="preserve">The Values and Health Care Philosophy of the Sisters of Charity </w:t>
      </w:r>
    </w:p>
    <w:p w:rsidR="00330B7D" w:rsidRPr="00330B7D" w:rsidRDefault="00330B7D" w:rsidP="00330B7D">
      <w:pPr>
        <w:pStyle w:val="ListParagraph"/>
        <w:numPr>
          <w:ilvl w:val="1"/>
          <w:numId w:val="12"/>
        </w:numPr>
        <w:spacing w:line="276" w:lineRule="auto"/>
        <w:jc w:val="both"/>
        <w:rPr>
          <w:rFonts w:ascii="TheSansOffice" w:hAnsi="TheSansOffice" w:cs="Tahoma"/>
          <w:bCs/>
          <w:sz w:val="18"/>
          <w:szCs w:val="18"/>
        </w:rPr>
      </w:pPr>
      <w:r w:rsidRPr="00330B7D">
        <w:rPr>
          <w:rFonts w:ascii="TheSansOffice" w:hAnsi="TheSansOffice" w:cs="Tahoma"/>
          <w:bCs/>
          <w:sz w:val="18"/>
          <w:szCs w:val="18"/>
        </w:rPr>
        <w:t xml:space="preserve">The Principles of the St. Vincent’s Hospital Patient Care Model </w:t>
      </w:r>
    </w:p>
    <w:p w:rsidR="00330B7D" w:rsidRPr="00330B7D" w:rsidRDefault="00330B7D" w:rsidP="00330B7D">
      <w:pPr>
        <w:pStyle w:val="ListParagraph"/>
        <w:numPr>
          <w:ilvl w:val="1"/>
          <w:numId w:val="12"/>
        </w:numPr>
        <w:spacing w:line="276" w:lineRule="auto"/>
        <w:jc w:val="both"/>
        <w:rPr>
          <w:rFonts w:ascii="TheSansOffice" w:hAnsi="TheSansOffice" w:cs="Tahoma"/>
          <w:bCs/>
          <w:sz w:val="18"/>
          <w:szCs w:val="18"/>
        </w:rPr>
      </w:pPr>
      <w:r w:rsidRPr="00330B7D">
        <w:rPr>
          <w:rFonts w:ascii="TheSansOffice" w:hAnsi="TheSansOffice" w:cs="Tahoma"/>
          <w:bCs/>
          <w:sz w:val="18"/>
          <w:szCs w:val="18"/>
        </w:rPr>
        <w:t>The Hospital’s Code of  Conduct</w:t>
      </w:r>
    </w:p>
    <w:p w:rsidR="00330B7D" w:rsidRPr="00330B7D" w:rsidRDefault="00330B7D" w:rsidP="00330B7D">
      <w:pPr>
        <w:pStyle w:val="ListParagraph"/>
        <w:numPr>
          <w:ilvl w:val="0"/>
          <w:numId w:val="12"/>
        </w:numPr>
        <w:spacing w:line="276" w:lineRule="auto"/>
        <w:jc w:val="both"/>
        <w:rPr>
          <w:rFonts w:ascii="TheSansOffice" w:hAnsi="TheSansOffice" w:cs="Tahoma"/>
          <w:bCs/>
          <w:sz w:val="18"/>
          <w:szCs w:val="18"/>
        </w:rPr>
      </w:pPr>
      <w:r w:rsidRPr="00330B7D">
        <w:rPr>
          <w:rFonts w:ascii="TheSansOffice" w:hAnsi="TheSansOffice" w:cs="Tahoma"/>
          <w:bCs/>
          <w:sz w:val="18"/>
          <w:szCs w:val="18"/>
        </w:rPr>
        <w:t xml:space="preserve">Demonstrated understanding of contemporary mental health </w:t>
      </w:r>
      <w:r w:rsidR="0068304B">
        <w:rPr>
          <w:rFonts w:ascii="TheSansOffice" w:hAnsi="TheSansOffice" w:cs="Tahoma"/>
          <w:bCs/>
          <w:sz w:val="18"/>
          <w:szCs w:val="18"/>
        </w:rPr>
        <w:t xml:space="preserve">and AOD </w:t>
      </w:r>
      <w:r w:rsidRPr="00330B7D">
        <w:rPr>
          <w:rFonts w:ascii="TheSansOffice" w:hAnsi="TheSansOffice" w:cs="Tahoma"/>
          <w:bCs/>
          <w:sz w:val="18"/>
          <w:szCs w:val="18"/>
        </w:rPr>
        <w:t xml:space="preserve">service provision, recovery oriented practice, co-design approaches, and Victorian Mental Health </w:t>
      </w:r>
      <w:r w:rsidR="0068304B">
        <w:rPr>
          <w:rFonts w:ascii="TheSansOffice" w:hAnsi="TheSansOffice" w:cs="Tahoma"/>
          <w:bCs/>
          <w:sz w:val="18"/>
          <w:szCs w:val="18"/>
        </w:rPr>
        <w:t xml:space="preserve">and AOD </w:t>
      </w:r>
      <w:r w:rsidRPr="00330B7D">
        <w:rPr>
          <w:rFonts w:ascii="TheSansOffice" w:hAnsi="TheSansOffice" w:cs="Tahoma"/>
          <w:bCs/>
          <w:sz w:val="18"/>
          <w:szCs w:val="18"/>
        </w:rPr>
        <w:t>legislation and policy frameworks</w:t>
      </w:r>
    </w:p>
    <w:p w:rsidR="00330B7D" w:rsidRPr="00330B7D" w:rsidRDefault="00330B7D" w:rsidP="00330B7D">
      <w:pPr>
        <w:pStyle w:val="ListParagraph"/>
        <w:numPr>
          <w:ilvl w:val="0"/>
          <w:numId w:val="12"/>
        </w:numPr>
        <w:spacing w:line="276" w:lineRule="auto"/>
        <w:jc w:val="both"/>
        <w:rPr>
          <w:rFonts w:ascii="TheSansOffice" w:hAnsi="TheSansOffice" w:cs="Tahoma"/>
          <w:bCs/>
          <w:sz w:val="18"/>
          <w:szCs w:val="18"/>
        </w:rPr>
      </w:pPr>
      <w:r w:rsidRPr="00330B7D">
        <w:rPr>
          <w:rFonts w:ascii="TheSansOffice" w:hAnsi="TheSansOffice" w:cs="Tahoma"/>
          <w:bCs/>
          <w:sz w:val="18"/>
          <w:szCs w:val="18"/>
        </w:rPr>
        <w:t>Highly developed skills in engaging and working collaboratively with consumers, carers and supporters, members of the multidisciplinary team, other senior staff and external agencies.</w:t>
      </w:r>
    </w:p>
    <w:p w:rsidR="00330B7D" w:rsidRPr="00330B7D" w:rsidRDefault="00330B7D" w:rsidP="00330B7D">
      <w:pPr>
        <w:pStyle w:val="ListParagraph"/>
        <w:numPr>
          <w:ilvl w:val="0"/>
          <w:numId w:val="12"/>
        </w:numPr>
        <w:spacing w:line="276" w:lineRule="auto"/>
        <w:jc w:val="both"/>
        <w:rPr>
          <w:rFonts w:ascii="TheSansOffice" w:hAnsi="TheSansOffice" w:cs="Tahoma"/>
          <w:bCs/>
          <w:sz w:val="18"/>
          <w:szCs w:val="18"/>
        </w:rPr>
      </w:pPr>
      <w:r w:rsidRPr="00330B7D">
        <w:rPr>
          <w:rFonts w:ascii="TheSansOffice" w:hAnsi="TheSansOffice" w:cs="Tahoma"/>
          <w:bCs/>
          <w:sz w:val="18"/>
          <w:szCs w:val="18"/>
        </w:rPr>
        <w:t>Highly developed interpersonal and communication skills, including problem solving ability and conflict resolution skills, as well as sound oral and writing skills</w:t>
      </w:r>
    </w:p>
    <w:p w:rsidR="00330B7D" w:rsidRPr="00330B7D" w:rsidRDefault="00330B7D" w:rsidP="00330B7D">
      <w:pPr>
        <w:pStyle w:val="ListParagraph"/>
        <w:numPr>
          <w:ilvl w:val="0"/>
          <w:numId w:val="12"/>
        </w:numPr>
        <w:spacing w:line="276" w:lineRule="auto"/>
        <w:jc w:val="both"/>
        <w:rPr>
          <w:rFonts w:ascii="TheSansOffice" w:hAnsi="TheSansOffice" w:cs="Tahoma"/>
          <w:bCs/>
          <w:sz w:val="18"/>
          <w:szCs w:val="18"/>
        </w:rPr>
      </w:pPr>
      <w:r w:rsidRPr="00330B7D">
        <w:rPr>
          <w:rFonts w:ascii="TheSansOffice" w:hAnsi="TheSansOffice" w:cs="Tahoma"/>
          <w:bCs/>
          <w:sz w:val="18"/>
          <w:szCs w:val="18"/>
        </w:rPr>
        <w:t xml:space="preserve">Highly developed organisational skills including time management, prioritisation of multiple tasks and working to tight deadlines </w:t>
      </w:r>
    </w:p>
    <w:p w:rsidR="00330B7D" w:rsidRPr="00330B7D" w:rsidRDefault="00330B7D" w:rsidP="00330B7D">
      <w:pPr>
        <w:pStyle w:val="ListParagraph"/>
        <w:numPr>
          <w:ilvl w:val="0"/>
          <w:numId w:val="12"/>
        </w:numPr>
        <w:spacing w:line="276" w:lineRule="auto"/>
        <w:jc w:val="both"/>
        <w:rPr>
          <w:rFonts w:ascii="TheSansOffice" w:hAnsi="TheSansOffice" w:cs="Tahoma"/>
          <w:bCs/>
          <w:sz w:val="18"/>
          <w:szCs w:val="18"/>
        </w:rPr>
      </w:pPr>
      <w:r w:rsidRPr="00330B7D">
        <w:rPr>
          <w:rFonts w:ascii="TheSansOffice" w:hAnsi="TheSansOffice" w:cs="Tahoma"/>
          <w:bCs/>
          <w:sz w:val="18"/>
          <w:szCs w:val="18"/>
        </w:rPr>
        <w:t>Commitment to ongoing professional developme</w:t>
      </w:r>
      <w:r>
        <w:rPr>
          <w:rFonts w:ascii="TheSansOffice" w:hAnsi="TheSansOffice" w:cs="Tahoma"/>
          <w:bCs/>
          <w:sz w:val="18"/>
          <w:szCs w:val="18"/>
        </w:rPr>
        <w:t>nt and professional supervision</w:t>
      </w:r>
    </w:p>
    <w:p w:rsidR="00330B7D" w:rsidRDefault="00330B7D" w:rsidP="00330B7D">
      <w:pPr>
        <w:spacing w:line="276" w:lineRule="auto"/>
        <w:jc w:val="both"/>
        <w:rPr>
          <w:rFonts w:ascii="TheSansOffice" w:hAnsi="TheSansOffice" w:cs="Tahoma"/>
          <w:bCs/>
          <w:sz w:val="18"/>
          <w:szCs w:val="18"/>
        </w:rPr>
      </w:pPr>
    </w:p>
    <w:p w:rsidR="00330B7D" w:rsidRPr="0026059F" w:rsidRDefault="00330B7D" w:rsidP="00330B7D">
      <w:pPr>
        <w:pStyle w:val="Heading1"/>
        <w:numPr>
          <w:ilvl w:val="1"/>
          <w:numId w:val="4"/>
        </w:numPr>
        <w:pBdr>
          <w:bottom w:val="single" w:sz="4" w:space="1" w:color="auto"/>
        </w:pBdr>
        <w:spacing w:line="276" w:lineRule="auto"/>
        <w:jc w:val="both"/>
        <w:rPr>
          <w:rFonts w:ascii="TheSansOffice" w:hAnsi="TheSansOffice"/>
          <w:sz w:val="18"/>
          <w:szCs w:val="18"/>
        </w:rPr>
      </w:pPr>
      <w:r>
        <w:rPr>
          <w:rFonts w:ascii="TheSansOffice" w:hAnsi="TheSansOffice"/>
          <w:sz w:val="18"/>
          <w:szCs w:val="18"/>
        </w:rPr>
        <w:t>OTHER NON-ESSENTIAL REQUIREMENTS</w:t>
      </w:r>
    </w:p>
    <w:p w:rsidR="00330B7D" w:rsidRDefault="00330B7D" w:rsidP="00330B7D">
      <w:pPr>
        <w:pStyle w:val="ListParagraph"/>
        <w:spacing w:line="276" w:lineRule="auto"/>
        <w:jc w:val="both"/>
        <w:rPr>
          <w:rFonts w:ascii="TheSansOffice" w:hAnsi="TheSansOffice" w:cs="Tahoma"/>
          <w:bCs/>
          <w:sz w:val="18"/>
          <w:szCs w:val="18"/>
        </w:rPr>
      </w:pPr>
    </w:p>
    <w:p w:rsidR="00330B7D" w:rsidRPr="00330B7D" w:rsidRDefault="00330B7D" w:rsidP="00330B7D">
      <w:pPr>
        <w:pStyle w:val="ListParagraph"/>
        <w:numPr>
          <w:ilvl w:val="0"/>
          <w:numId w:val="13"/>
        </w:numPr>
        <w:spacing w:line="276" w:lineRule="auto"/>
        <w:jc w:val="both"/>
        <w:rPr>
          <w:rFonts w:ascii="TheSansOffice" w:hAnsi="TheSansOffice" w:cs="Tahoma"/>
          <w:bCs/>
          <w:sz w:val="18"/>
          <w:szCs w:val="18"/>
        </w:rPr>
      </w:pPr>
      <w:r w:rsidRPr="00330B7D">
        <w:rPr>
          <w:rFonts w:ascii="TheSansOffice" w:hAnsi="TheSansOffice" w:cs="Tahoma"/>
          <w:bCs/>
          <w:sz w:val="18"/>
          <w:szCs w:val="18"/>
        </w:rPr>
        <w:t xml:space="preserve">Post Degree Qualification qualifications relevant to the related area </w:t>
      </w:r>
    </w:p>
    <w:p w:rsidR="00330B7D" w:rsidRPr="00330B7D" w:rsidRDefault="00330B7D" w:rsidP="00330B7D">
      <w:pPr>
        <w:pStyle w:val="ListParagraph"/>
        <w:numPr>
          <w:ilvl w:val="0"/>
          <w:numId w:val="13"/>
        </w:numPr>
        <w:spacing w:line="276" w:lineRule="auto"/>
        <w:jc w:val="both"/>
        <w:rPr>
          <w:rFonts w:ascii="TheSansOffice" w:hAnsi="TheSansOffice" w:cs="Tahoma"/>
          <w:bCs/>
          <w:sz w:val="18"/>
          <w:szCs w:val="18"/>
        </w:rPr>
      </w:pPr>
      <w:r w:rsidRPr="00330B7D">
        <w:rPr>
          <w:rFonts w:ascii="TheSansOffice" w:hAnsi="TheSansOffice" w:cs="Tahoma"/>
          <w:bCs/>
          <w:sz w:val="18"/>
          <w:szCs w:val="18"/>
        </w:rPr>
        <w:t xml:space="preserve">An understanding of mental health </w:t>
      </w:r>
      <w:r w:rsidR="0068304B">
        <w:rPr>
          <w:rFonts w:ascii="TheSansOffice" w:hAnsi="TheSansOffice" w:cs="Tahoma"/>
          <w:bCs/>
          <w:sz w:val="18"/>
          <w:szCs w:val="18"/>
        </w:rPr>
        <w:t xml:space="preserve">and AOD </w:t>
      </w:r>
      <w:r w:rsidRPr="00330B7D">
        <w:rPr>
          <w:rFonts w:ascii="TheSansOffice" w:hAnsi="TheSansOffice" w:cs="Tahoma"/>
          <w:bCs/>
          <w:sz w:val="18"/>
          <w:szCs w:val="18"/>
        </w:rPr>
        <w:t>legislation and best practice standards such as the Victorian Mental Health Act or its relevant replacement.</w:t>
      </w:r>
    </w:p>
    <w:p w:rsidR="00330B7D" w:rsidRPr="00330B7D" w:rsidRDefault="00330B7D" w:rsidP="00330B7D">
      <w:pPr>
        <w:pStyle w:val="ListParagraph"/>
        <w:spacing w:line="276" w:lineRule="auto"/>
        <w:jc w:val="both"/>
        <w:rPr>
          <w:rFonts w:ascii="TheSansOffice" w:hAnsi="TheSansOffice" w:cs="Tahoma"/>
          <w:bCs/>
          <w:sz w:val="18"/>
          <w:szCs w:val="18"/>
        </w:rPr>
      </w:pPr>
    </w:p>
    <w:p w:rsidR="00E35CE6" w:rsidRPr="00421311" w:rsidRDefault="00E35CE6" w:rsidP="00E35CE6">
      <w:pPr>
        <w:pStyle w:val="Heading1"/>
        <w:numPr>
          <w:ilvl w:val="0"/>
          <w:numId w:val="4"/>
        </w:numPr>
        <w:pBdr>
          <w:bottom w:val="single" w:sz="4" w:space="1" w:color="auto"/>
        </w:pBdr>
        <w:spacing w:line="276" w:lineRule="auto"/>
        <w:jc w:val="both"/>
        <w:rPr>
          <w:rFonts w:ascii="TheSansOffice" w:hAnsi="TheSansOffice"/>
          <w:sz w:val="18"/>
          <w:szCs w:val="18"/>
        </w:rPr>
      </w:pPr>
      <w:r w:rsidRPr="00421311">
        <w:rPr>
          <w:rFonts w:ascii="TheSansOffice" w:hAnsi="TheSansOffice"/>
          <w:sz w:val="18"/>
          <w:szCs w:val="18"/>
        </w:rPr>
        <w:t>REQUIRED IMMUNISATIONS</w:t>
      </w:r>
    </w:p>
    <w:p w:rsidR="00330B7D" w:rsidRDefault="00330B7D" w:rsidP="00E35CE6">
      <w:pPr>
        <w:rPr>
          <w:rFonts w:ascii="TheSansOffice" w:hAnsi="TheSansOffice"/>
          <w:sz w:val="18"/>
          <w:szCs w:val="18"/>
        </w:rPr>
      </w:pPr>
    </w:p>
    <w:p w:rsidR="00E35CE6" w:rsidRPr="00421311" w:rsidRDefault="00E35CE6" w:rsidP="00E35CE6">
      <w:pPr>
        <w:rPr>
          <w:rFonts w:ascii="TheSansOffice" w:hAnsi="TheSansOffice"/>
          <w:sz w:val="18"/>
          <w:szCs w:val="18"/>
        </w:rPr>
      </w:pPr>
      <w:r w:rsidRPr="00421311">
        <w:rPr>
          <w:rFonts w:ascii="TheSansOffice" w:hAnsi="TheSansOffice"/>
          <w:sz w:val="18"/>
          <w:szCs w:val="18"/>
        </w:rPr>
        <w:t xml:space="preserve">SVHM Employee Health Screening and Immunisation Policy outlines the requirements for staff working in SVHM facilities. </w:t>
      </w:r>
    </w:p>
    <w:p w:rsidR="00E35CE6" w:rsidRPr="00421311" w:rsidRDefault="00E35CE6" w:rsidP="00E35CE6">
      <w:pPr>
        <w:rPr>
          <w:rFonts w:ascii="TheSansOffice" w:hAnsi="TheSansOffice"/>
          <w:sz w:val="18"/>
          <w:szCs w:val="18"/>
        </w:rPr>
      </w:pPr>
    </w:p>
    <w:p w:rsidR="00E35CE6" w:rsidRPr="00421311" w:rsidRDefault="00E35CE6" w:rsidP="00E35CE6">
      <w:pPr>
        <w:rPr>
          <w:rFonts w:ascii="TheSansOffice" w:hAnsi="TheSansOffice"/>
          <w:b/>
          <w:sz w:val="18"/>
          <w:szCs w:val="18"/>
        </w:rPr>
      </w:pPr>
      <w:r w:rsidRPr="00421311">
        <w:rPr>
          <w:rFonts w:ascii="TheSansOffice" w:hAnsi="TheSansOffice"/>
          <w:b/>
          <w:sz w:val="18"/>
          <w:szCs w:val="18"/>
        </w:rPr>
        <w:t>Table 1: Vaccine Preventable Diseases for which vaccination and/or assessment is required within SVHM</w:t>
      </w:r>
    </w:p>
    <w:p w:rsidR="00E35CE6" w:rsidRPr="00421311" w:rsidRDefault="00E35CE6" w:rsidP="00E35CE6">
      <w:pPr>
        <w:rPr>
          <w:rFonts w:ascii="TheSansOffice" w:hAnsi="TheSansOffice"/>
          <w:sz w:val="18"/>
          <w:szCs w:val="18"/>
        </w:rPr>
      </w:pPr>
    </w:p>
    <w:tbl>
      <w:tblPr>
        <w:tblStyle w:val="TableGrid3"/>
        <w:tblW w:w="8657" w:type="dxa"/>
        <w:tblInd w:w="-5" w:type="dxa"/>
        <w:tblLook w:val="04A0" w:firstRow="1" w:lastRow="0" w:firstColumn="1" w:lastColumn="0" w:noHBand="0" w:noVBand="1"/>
      </w:tblPr>
      <w:tblGrid>
        <w:gridCol w:w="4577"/>
        <w:gridCol w:w="4080"/>
      </w:tblGrid>
      <w:tr w:rsidR="00E35CE6" w:rsidRPr="00233B05" w:rsidTr="005204B5">
        <w:trPr>
          <w:trHeight w:val="1267"/>
        </w:trPr>
        <w:tc>
          <w:tcPr>
            <w:tcW w:w="4577" w:type="dxa"/>
          </w:tcPr>
          <w:p w:rsidR="00E35CE6" w:rsidRPr="00233B05" w:rsidRDefault="00E35CE6" w:rsidP="005204B5">
            <w:pPr>
              <w:rPr>
                <w:rFonts w:ascii="TheSansOffice" w:hAnsi="TheSansOffice"/>
                <w:sz w:val="18"/>
                <w:szCs w:val="18"/>
              </w:rPr>
            </w:pPr>
            <w:r w:rsidRPr="00233B05">
              <w:rPr>
                <w:rFonts w:ascii="TheSansOffice" w:hAnsi="TheSansOffice"/>
                <w:sz w:val="18"/>
                <w:szCs w:val="18"/>
              </w:rPr>
              <w:t>Chicken pox (varicella)</w:t>
            </w:r>
          </w:p>
          <w:p w:rsidR="00E35CE6" w:rsidRPr="00233B05" w:rsidRDefault="00E35CE6" w:rsidP="005204B5">
            <w:pPr>
              <w:rPr>
                <w:rFonts w:ascii="TheSansOffice" w:hAnsi="TheSansOffice"/>
                <w:sz w:val="18"/>
                <w:szCs w:val="18"/>
              </w:rPr>
            </w:pPr>
            <w:r w:rsidRPr="00233B05">
              <w:rPr>
                <w:rFonts w:ascii="TheSansOffice" w:hAnsi="TheSansOffice"/>
                <w:sz w:val="18"/>
                <w:szCs w:val="18"/>
              </w:rPr>
              <w:t>Hepatitis B</w:t>
            </w:r>
          </w:p>
          <w:p w:rsidR="00E35CE6" w:rsidRPr="00233B05" w:rsidRDefault="00E35CE6" w:rsidP="005204B5">
            <w:pPr>
              <w:rPr>
                <w:rFonts w:ascii="TheSansOffice" w:hAnsi="TheSansOffice"/>
                <w:sz w:val="18"/>
                <w:szCs w:val="18"/>
              </w:rPr>
            </w:pPr>
            <w:r w:rsidRPr="00233B05">
              <w:rPr>
                <w:rFonts w:ascii="TheSansOffice" w:hAnsi="TheSansOffice"/>
                <w:sz w:val="18"/>
                <w:szCs w:val="18"/>
              </w:rPr>
              <w:t>Measles</w:t>
            </w:r>
          </w:p>
          <w:p w:rsidR="00E35CE6" w:rsidRPr="00233B05" w:rsidRDefault="00E35CE6" w:rsidP="005204B5">
            <w:pPr>
              <w:rPr>
                <w:rFonts w:ascii="TheSansOffice" w:hAnsi="TheSansOffice"/>
                <w:sz w:val="18"/>
                <w:szCs w:val="18"/>
              </w:rPr>
            </w:pPr>
            <w:r w:rsidRPr="00233B05">
              <w:rPr>
                <w:rFonts w:ascii="TheSansOffice" w:hAnsi="TheSansOffice"/>
                <w:sz w:val="18"/>
                <w:szCs w:val="18"/>
              </w:rPr>
              <w:t>Mumps</w:t>
            </w:r>
          </w:p>
          <w:p w:rsidR="00E35CE6" w:rsidRPr="00233B05" w:rsidRDefault="00E35CE6" w:rsidP="005204B5">
            <w:pPr>
              <w:rPr>
                <w:rFonts w:ascii="TheSansOffice" w:hAnsi="TheSansOffice"/>
                <w:sz w:val="18"/>
                <w:szCs w:val="18"/>
              </w:rPr>
            </w:pPr>
            <w:r w:rsidRPr="00233B05">
              <w:rPr>
                <w:rFonts w:ascii="TheSansOffice" w:hAnsi="TheSansOffice"/>
                <w:sz w:val="18"/>
                <w:szCs w:val="18"/>
              </w:rPr>
              <w:t>Rubella</w:t>
            </w:r>
          </w:p>
        </w:tc>
        <w:tc>
          <w:tcPr>
            <w:tcW w:w="4080" w:type="dxa"/>
          </w:tcPr>
          <w:p w:rsidR="00E35CE6" w:rsidRPr="00233B05" w:rsidRDefault="00E35CE6" w:rsidP="005204B5">
            <w:pPr>
              <w:rPr>
                <w:rFonts w:ascii="TheSansOffice" w:hAnsi="TheSansOffice"/>
                <w:sz w:val="18"/>
                <w:szCs w:val="18"/>
              </w:rPr>
            </w:pPr>
            <w:r w:rsidRPr="00233B05">
              <w:rPr>
                <w:rFonts w:ascii="TheSansOffice" w:hAnsi="TheSansOffice"/>
                <w:sz w:val="18"/>
                <w:szCs w:val="18"/>
              </w:rPr>
              <w:t>Whooping cough (pertussis)</w:t>
            </w:r>
          </w:p>
          <w:p w:rsidR="00E35CE6" w:rsidRPr="00233B05" w:rsidRDefault="00E35CE6" w:rsidP="005204B5">
            <w:pPr>
              <w:rPr>
                <w:rFonts w:ascii="TheSansOffice" w:hAnsi="TheSansOffice"/>
                <w:sz w:val="18"/>
                <w:szCs w:val="18"/>
              </w:rPr>
            </w:pPr>
            <w:r w:rsidRPr="00233B05">
              <w:rPr>
                <w:rFonts w:ascii="TheSansOffice" w:hAnsi="TheSansOffice"/>
                <w:sz w:val="18"/>
                <w:szCs w:val="18"/>
              </w:rPr>
              <w:t>Diphtheria</w:t>
            </w:r>
          </w:p>
          <w:p w:rsidR="00E35CE6" w:rsidRPr="00233B05" w:rsidRDefault="00E35CE6" w:rsidP="005204B5">
            <w:pPr>
              <w:rPr>
                <w:rFonts w:ascii="TheSansOffice" w:hAnsi="TheSansOffice"/>
                <w:sz w:val="18"/>
                <w:szCs w:val="18"/>
              </w:rPr>
            </w:pPr>
            <w:r w:rsidRPr="00233B05">
              <w:rPr>
                <w:rFonts w:ascii="TheSansOffice" w:hAnsi="TheSansOffice"/>
                <w:sz w:val="18"/>
                <w:szCs w:val="18"/>
              </w:rPr>
              <w:t>Tetanus</w:t>
            </w:r>
          </w:p>
          <w:p w:rsidR="00E35CE6" w:rsidRPr="00233B05" w:rsidRDefault="00E35CE6" w:rsidP="005204B5">
            <w:pPr>
              <w:rPr>
                <w:rFonts w:ascii="TheSansOffice" w:hAnsi="TheSansOffice"/>
                <w:sz w:val="18"/>
                <w:szCs w:val="18"/>
              </w:rPr>
            </w:pPr>
            <w:r w:rsidRPr="00233B05">
              <w:rPr>
                <w:rFonts w:ascii="TheSansOffice" w:hAnsi="TheSansOffice"/>
                <w:sz w:val="18"/>
                <w:szCs w:val="18"/>
              </w:rPr>
              <w:t xml:space="preserve">Influenza </w:t>
            </w:r>
          </w:p>
          <w:p w:rsidR="00E35CE6" w:rsidRPr="00233B05" w:rsidRDefault="00E35CE6" w:rsidP="005204B5">
            <w:pPr>
              <w:rPr>
                <w:rFonts w:ascii="TheSansOffice" w:hAnsi="TheSansOffice"/>
                <w:sz w:val="18"/>
                <w:szCs w:val="18"/>
              </w:rPr>
            </w:pPr>
            <w:r w:rsidRPr="00233B05">
              <w:rPr>
                <w:rFonts w:ascii="TheSansOffice" w:hAnsi="TheSansOffice"/>
                <w:sz w:val="18"/>
                <w:szCs w:val="18"/>
              </w:rPr>
              <w:t>Tuberculosis</w:t>
            </w:r>
          </w:p>
          <w:p w:rsidR="00E35CE6" w:rsidRPr="00233B05" w:rsidRDefault="00E35CE6" w:rsidP="005204B5">
            <w:pPr>
              <w:rPr>
                <w:rFonts w:ascii="TheSansOffice" w:hAnsi="TheSansOffice"/>
                <w:sz w:val="18"/>
                <w:szCs w:val="18"/>
              </w:rPr>
            </w:pPr>
            <w:r w:rsidRPr="00233B05">
              <w:rPr>
                <w:rFonts w:ascii="TheSansOffice" w:hAnsi="TheSansOffice"/>
                <w:sz w:val="18"/>
                <w:szCs w:val="18"/>
              </w:rPr>
              <w:t>COVID-19 ***</w:t>
            </w:r>
          </w:p>
        </w:tc>
      </w:tr>
    </w:tbl>
    <w:p w:rsidR="00E35CE6" w:rsidRPr="00233B05" w:rsidRDefault="00E35CE6" w:rsidP="00E35CE6">
      <w:pPr>
        <w:rPr>
          <w:rFonts w:ascii="TheSansOffice" w:hAnsi="TheSansOffice"/>
          <w:sz w:val="18"/>
          <w:szCs w:val="18"/>
        </w:rPr>
      </w:pPr>
    </w:p>
    <w:p w:rsidR="00E35CE6" w:rsidRPr="00233B05" w:rsidRDefault="00E35CE6" w:rsidP="00E35CE6">
      <w:pPr>
        <w:rPr>
          <w:rFonts w:ascii="TheSansOffice" w:hAnsi="TheSansOffice"/>
          <w:i/>
          <w:sz w:val="18"/>
          <w:szCs w:val="18"/>
        </w:rPr>
      </w:pPr>
      <w:r w:rsidRPr="00233B05">
        <w:rPr>
          <w:rFonts w:ascii="TheSansOffice" w:hAnsi="TheSansOffice"/>
          <w:i/>
          <w:sz w:val="18"/>
          <w:szCs w:val="18"/>
        </w:rPr>
        <w:t xml:space="preserve">NOTE: Vaccination requirements may differ according to individual jurisdictional requirements and policy directives and where there is a conflict the higher directive will apply.  </w:t>
      </w:r>
    </w:p>
    <w:p w:rsidR="00E35CE6" w:rsidRPr="00233B05" w:rsidRDefault="00E35CE6" w:rsidP="00E35CE6">
      <w:pPr>
        <w:rPr>
          <w:rFonts w:ascii="TheSansOffice" w:hAnsi="TheSansOffice"/>
          <w:i/>
          <w:sz w:val="18"/>
          <w:szCs w:val="18"/>
        </w:rPr>
      </w:pPr>
    </w:p>
    <w:p w:rsidR="00E35CE6" w:rsidRPr="00421311" w:rsidRDefault="00E35CE6" w:rsidP="00E35CE6">
      <w:pPr>
        <w:rPr>
          <w:rFonts w:ascii="TheSansOffice" w:hAnsi="TheSansOffice"/>
          <w:i/>
          <w:sz w:val="18"/>
          <w:szCs w:val="18"/>
        </w:rPr>
      </w:pPr>
      <w:r w:rsidRPr="00233B05">
        <w:rPr>
          <w:rFonts w:ascii="TheSansOffice" w:hAnsi="TheSansOffice"/>
          <w:i/>
          <w:sz w:val="18"/>
          <w:szCs w:val="18"/>
        </w:rPr>
        <w:t>***Following direction from the Victorian Chief Health Officer, under the Public Health and Wellbeing Act 2008 (Vic); Section 200; the COVID-19 Vaccination is mandatory for all employees (regardless of risk category), provided the individual does not have a medical contraindication according to the Australia Technical Advisory Group on Immunisation.</w:t>
      </w:r>
      <w:r>
        <w:rPr>
          <w:rFonts w:ascii="TheSansOffice" w:hAnsi="TheSansOffice"/>
          <w:i/>
          <w:sz w:val="18"/>
          <w:szCs w:val="18"/>
        </w:rPr>
        <w:t xml:space="preserve"> </w:t>
      </w:r>
    </w:p>
    <w:p w:rsidR="00E35CE6" w:rsidRPr="00421311" w:rsidRDefault="00E35CE6" w:rsidP="00E35CE6">
      <w:pPr>
        <w:rPr>
          <w:rFonts w:ascii="TheSansOffice" w:hAnsi="TheSansOffice"/>
          <w:sz w:val="18"/>
          <w:szCs w:val="18"/>
        </w:rPr>
      </w:pPr>
    </w:p>
    <w:p w:rsidR="00E35CE6" w:rsidRPr="00421311" w:rsidRDefault="00E35CE6" w:rsidP="00E35CE6">
      <w:pPr>
        <w:rPr>
          <w:rFonts w:ascii="TheSansOffice" w:hAnsi="TheSansOffice"/>
          <w:sz w:val="18"/>
          <w:szCs w:val="18"/>
        </w:rPr>
      </w:pPr>
      <w:r w:rsidRPr="00421311">
        <w:rPr>
          <w:rFonts w:ascii="TheSansOffice" w:hAnsi="TheSansOffice"/>
          <w:sz w:val="18"/>
          <w:szCs w:val="18"/>
        </w:rPr>
        <w:t>SVHM has grouped individuals according to their risk of transmitting vaccine preventable diseases and their risk of exposure to blood or body substances (Table 2).</w:t>
      </w:r>
    </w:p>
    <w:p w:rsidR="00E35CE6" w:rsidRPr="00421311" w:rsidRDefault="00E35CE6" w:rsidP="00E35CE6">
      <w:pPr>
        <w:rPr>
          <w:rFonts w:ascii="TheSansOffice" w:hAnsi="TheSansOffice"/>
          <w:sz w:val="18"/>
          <w:szCs w:val="18"/>
        </w:rPr>
      </w:pPr>
    </w:p>
    <w:p w:rsidR="00E35CE6" w:rsidRPr="00421311" w:rsidRDefault="00E35CE6" w:rsidP="00E35CE6">
      <w:pPr>
        <w:rPr>
          <w:rFonts w:ascii="TheSansOffice" w:hAnsi="TheSansOffice"/>
          <w:b/>
          <w:sz w:val="18"/>
          <w:szCs w:val="18"/>
        </w:rPr>
      </w:pPr>
      <w:r w:rsidRPr="00421311">
        <w:rPr>
          <w:rFonts w:ascii="TheSansOffice" w:hAnsi="TheSansOffice"/>
          <w:b/>
          <w:sz w:val="18"/>
          <w:szCs w:val="18"/>
        </w:rPr>
        <w:t>Table 2: Health Care Worker Risk Categorisation</w:t>
      </w:r>
    </w:p>
    <w:p w:rsidR="00E35CE6" w:rsidRPr="00421311" w:rsidRDefault="00E35CE6" w:rsidP="00E35CE6">
      <w:pPr>
        <w:rPr>
          <w:rFonts w:ascii="TheSansOffice" w:hAnsi="TheSansOffice"/>
          <w:sz w:val="18"/>
          <w:szCs w:val="18"/>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5460"/>
        <w:gridCol w:w="1389"/>
      </w:tblGrid>
      <w:tr w:rsidR="00E35CE6" w:rsidRPr="00421311" w:rsidTr="005204B5">
        <w:tc>
          <w:tcPr>
            <w:tcW w:w="1953" w:type="dxa"/>
            <w:shd w:val="clear" w:color="auto" w:fill="F2F2F2"/>
          </w:tcPr>
          <w:p w:rsidR="00E35CE6" w:rsidRPr="00421311" w:rsidRDefault="00E35CE6" w:rsidP="005204B5">
            <w:pPr>
              <w:jc w:val="center"/>
              <w:rPr>
                <w:rFonts w:ascii="TheSansOffice" w:hAnsi="TheSansOffice"/>
                <w:sz w:val="18"/>
                <w:szCs w:val="18"/>
              </w:rPr>
            </w:pPr>
            <w:r w:rsidRPr="00421311">
              <w:rPr>
                <w:rFonts w:ascii="TheSansOffice" w:hAnsi="TheSansOffice"/>
                <w:sz w:val="18"/>
                <w:szCs w:val="18"/>
              </w:rPr>
              <w:t>Risk Category</w:t>
            </w:r>
          </w:p>
        </w:tc>
        <w:tc>
          <w:tcPr>
            <w:tcW w:w="6104" w:type="dxa"/>
            <w:shd w:val="clear" w:color="auto" w:fill="F2F2F2"/>
          </w:tcPr>
          <w:p w:rsidR="00E35CE6" w:rsidRPr="00421311" w:rsidRDefault="00E35CE6" w:rsidP="005204B5">
            <w:pPr>
              <w:jc w:val="center"/>
              <w:rPr>
                <w:rFonts w:ascii="TheSansOffice" w:hAnsi="TheSansOffice"/>
                <w:sz w:val="18"/>
                <w:szCs w:val="18"/>
              </w:rPr>
            </w:pPr>
            <w:r w:rsidRPr="00421311">
              <w:rPr>
                <w:rFonts w:ascii="TheSansOffice" w:hAnsi="TheSansOffice"/>
                <w:sz w:val="18"/>
                <w:szCs w:val="18"/>
              </w:rPr>
              <w:t>Description</w:t>
            </w:r>
          </w:p>
        </w:tc>
        <w:tc>
          <w:tcPr>
            <w:tcW w:w="590" w:type="dxa"/>
            <w:shd w:val="clear" w:color="auto" w:fill="F2F2F2"/>
          </w:tcPr>
          <w:p w:rsidR="00E35CE6" w:rsidRPr="00421311" w:rsidRDefault="00E35CE6" w:rsidP="005204B5">
            <w:pPr>
              <w:jc w:val="center"/>
              <w:rPr>
                <w:rFonts w:ascii="TheSansOffice" w:hAnsi="TheSansOffice"/>
                <w:sz w:val="18"/>
                <w:szCs w:val="18"/>
              </w:rPr>
            </w:pPr>
            <w:r w:rsidRPr="00421311">
              <w:rPr>
                <w:rFonts w:ascii="TheSansOffice" w:hAnsi="TheSansOffice"/>
                <w:sz w:val="18"/>
                <w:szCs w:val="18"/>
              </w:rPr>
              <w:t>Vaccination requirement</w:t>
            </w:r>
          </w:p>
        </w:tc>
      </w:tr>
      <w:tr w:rsidR="00E35CE6" w:rsidRPr="00421311" w:rsidTr="005204B5">
        <w:tc>
          <w:tcPr>
            <w:tcW w:w="1953" w:type="dxa"/>
            <w:shd w:val="clear" w:color="auto" w:fill="auto"/>
          </w:tcPr>
          <w:p w:rsidR="00E35CE6" w:rsidRPr="00421311" w:rsidRDefault="00E35CE6" w:rsidP="005204B5">
            <w:pPr>
              <w:rPr>
                <w:rFonts w:ascii="TheSansOffice" w:hAnsi="TheSansOffice"/>
                <w:sz w:val="18"/>
                <w:szCs w:val="18"/>
              </w:rPr>
            </w:pPr>
            <w:r w:rsidRPr="00421311">
              <w:rPr>
                <w:rFonts w:ascii="TheSansOffice" w:hAnsi="TheSansOffice"/>
                <w:sz w:val="18"/>
                <w:szCs w:val="18"/>
              </w:rPr>
              <w:t>Category A</w:t>
            </w:r>
          </w:p>
        </w:tc>
        <w:tc>
          <w:tcPr>
            <w:tcW w:w="6104" w:type="dxa"/>
            <w:shd w:val="clear" w:color="auto" w:fill="auto"/>
          </w:tcPr>
          <w:p w:rsidR="00E35CE6" w:rsidRPr="00421311" w:rsidRDefault="00E35CE6" w:rsidP="005204B5">
            <w:pPr>
              <w:rPr>
                <w:rFonts w:ascii="TheSansOffice" w:hAnsi="TheSansOffice"/>
                <w:sz w:val="18"/>
                <w:szCs w:val="18"/>
              </w:rPr>
            </w:pPr>
            <w:r w:rsidRPr="00421311">
              <w:rPr>
                <w:rFonts w:ascii="TheSansOffice" w:hAnsi="TheSansOffice"/>
                <w:sz w:val="18"/>
                <w:szCs w:val="18"/>
              </w:rPr>
              <w:t xml:space="preserve">Vaccination is </w:t>
            </w:r>
            <w:r w:rsidRPr="00421311">
              <w:rPr>
                <w:rFonts w:ascii="TheSansOffice" w:hAnsi="TheSansOffice"/>
                <w:b/>
                <w:sz w:val="18"/>
                <w:szCs w:val="18"/>
              </w:rPr>
              <w:t>required</w:t>
            </w:r>
            <w:r w:rsidRPr="00421311">
              <w:rPr>
                <w:rFonts w:ascii="TheSansOffice" w:hAnsi="TheSansOffice"/>
                <w:sz w:val="18"/>
                <w:szCs w:val="18"/>
              </w:rPr>
              <w:t xml:space="preserve"> for this category of health care worker. Healthcare workers within this category have the potential to transmit Vaccine Preventable Diseases to vulnerable patients most at risk of mortality and morbidity from these diseases within SVHM.</w:t>
            </w:r>
          </w:p>
          <w:p w:rsidR="00E35CE6" w:rsidRPr="00421311" w:rsidRDefault="00E35CE6" w:rsidP="005204B5">
            <w:pPr>
              <w:rPr>
                <w:rFonts w:ascii="TheSansOffice" w:hAnsi="TheSansOffice"/>
                <w:sz w:val="18"/>
                <w:szCs w:val="18"/>
              </w:rPr>
            </w:pPr>
            <w:r w:rsidRPr="00421311">
              <w:rPr>
                <w:rFonts w:ascii="TheSansOffice" w:hAnsi="TheSansOffice"/>
                <w:sz w:val="18"/>
                <w:szCs w:val="18"/>
              </w:rPr>
              <w:t xml:space="preserve">This includes employees with direct physical contact with patients/clients, deceased persons, blood, body substances or infectious material or surfaces/equipment that might contain </w:t>
            </w:r>
            <w:r w:rsidRPr="00421311">
              <w:rPr>
                <w:rFonts w:ascii="TheSansOffice" w:hAnsi="TheSansOffice"/>
                <w:sz w:val="18"/>
                <w:szCs w:val="18"/>
              </w:rPr>
              <w:lastRenderedPageBreak/>
              <w:t>these or contact that would allow acquisition and/or transmission of a specific infectious disease by respiratory means.</w:t>
            </w:r>
          </w:p>
          <w:p w:rsidR="00E35CE6" w:rsidRPr="00421311" w:rsidRDefault="00E35CE6" w:rsidP="00197D3C">
            <w:pPr>
              <w:rPr>
                <w:rFonts w:ascii="TheSansOffice" w:hAnsi="TheSansOffice"/>
                <w:sz w:val="18"/>
                <w:szCs w:val="18"/>
              </w:rPr>
            </w:pPr>
            <w:r w:rsidRPr="00421311">
              <w:rPr>
                <w:rFonts w:ascii="TheSansOffice" w:hAnsi="TheSansOffice"/>
                <w:sz w:val="18"/>
                <w:szCs w:val="18"/>
              </w:rPr>
              <w:t>This includes laboratory workers.</w:t>
            </w:r>
          </w:p>
        </w:tc>
        <w:tc>
          <w:tcPr>
            <w:tcW w:w="590" w:type="dxa"/>
            <w:shd w:val="clear" w:color="auto" w:fill="auto"/>
          </w:tcPr>
          <w:p w:rsidR="00E35CE6" w:rsidRPr="00421311" w:rsidRDefault="00E35CE6" w:rsidP="005204B5">
            <w:pPr>
              <w:rPr>
                <w:rFonts w:ascii="TheSansOffice" w:hAnsi="TheSansOffice"/>
                <w:sz w:val="18"/>
                <w:szCs w:val="18"/>
              </w:rPr>
            </w:pPr>
            <w:r w:rsidRPr="00421311">
              <w:rPr>
                <w:rFonts w:ascii="TheSansOffice" w:hAnsi="TheSansOffice"/>
                <w:sz w:val="18"/>
                <w:szCs w:val="18"/>
              </w:rPr>
              <w:lastRenderedPageBreak/>
              <w:t>Required</w:t>
            </w:r>
          </w:p>
        </w:tc>
      </w:tr>
      <w:tr w:rsidR="00E35CE6" w:rsidRPr="00421311" w:rsidTr="005204B5">
        <w:tc>
          <w:tcPr>
            <w:tcW w:w="1953" w:type="dxa"/>
            <w:shd w:val="clear" w:color="auto" w:fill="auto"/>
          </w:tcPr>
          <w:p w:rsidR="00E35CE6" w:rsidRPr="00421311" w:rsidRDefault="00E35CE6" w:rsidP="005204B5">
            <w:pPr>
              <w:rPr>
                <w:rFonts w:ascii="TheSansOffice" w:hAnsi="TheSansOffice"/>
                <w:sz w:val="18"/>
                <w:szCs w:val="18"/>
              </w:rPr>
            </w:pPr>
            <w:r w:rsidRPr="00421311">
              <w:rPr>
                <w:rFonts w:ascii="TheSansOffice" w:hAnsi="TheSansOffice"/>
                <w:sz w:val="18"/>
                <w:szCs w:val="18"/>
              </w:rPr>
              <w:t xml:space="preserve">Category B </w:t>
            </w:r>
          </w:p>
        </w:tc>
        <w:tc>
          <w:tcPr>
            <w:tcW w:w="6104" w:type="dxa"/>
            <w:shd w:val="clear" w:color="auto" w:fill="auto"/>
          </w:tcPr>
          <w:p w:rsidR="00E35CE6" w:rsidRPr="00421311" w:rsidRDefault="00E35CE6" w:rsidP="005204B5">
            <w:pPr>
              <w:rPr>
                <w:rFonts w:ascii="TheSansOffice" w:hAnsi="TheSansOffice"/>
                <w:sz w:val="18"/>
                <w:szCs w:val="18"/>
              </w:rPr>
            </w:pPr>
            <w:r w:rsidRPr="00421311">
              <w:rPr>
                <w:rFonts w:ascii="TheSansOffice" w:hAnsi="TheSansOffice"/>
                <w:sz w:val="18"/>
                <w:szCs w:val="18"/>
              </w:rPr>
              <w:t xml:space="preserve">Vaccination is recommended for this category of HCW. This includes individuals who do not work with the risk of exposure to blood or body substances, their normal work location is not in a clinical area (e.g. chef, administrative staff) and only attends the clinical area for short periods of time. Essentially, these individuals have no greater level of risk than that of the general community. </w:t>
            </w:r>
          </w:p>
          <w:p w:rsidR="00E35CE6" w:rsidRPr="00421311" w:rsidRDefault="00E35CE6" w:rsidP="005204B5">
            <w:pPr>
              <w:rPr>
                <w:rFonts w:ascii="TheSansOffice" w:hAnsi="TheSansOffice"/>
                <w:sz w:val="18"/>
                <w:szCs w:val="18"/>
              </w:rPr>
            </w:pPr>
          </w:p>
        </w:tc>
        <w:tc>
          <w:tcPr>
            <w:tcW w:w="590" w:type="dxa"/>
            <w:shd w:val="clear" w:color="auto" w:fill="auto"/>
          </w:tcPr>
          <w:p w:rsidR="00E35CE6" w:rsidRPr="00421311" w:rsidRDefault="00E35CE6" w:rsidP="005204B5">
            <w:pPr>
              <w:rPr>
                <w:rFonts w:ascii="TheSansOffice" w:hAnsi="TheSansOffice"/>
                <w:sz w:val="18"/>
                <w:szCs w:val="18"/>
              </w:rPr>
            </w:pPr>
            <w:r w:rsidRPr="00421311">
              <w:rPr>
                <w:rFonts w:ascii="TheSansOffice" w:hAnsi="TheSansOffice"/>
                <w:sz w:val="18"/>
                <w:szCs w:val="18"/>
              </w:rPr>
              <w:t>Recommended</w:t>
            </w:r>
          </w:p>
        </w:tc>
      </w:tr>
    </w:tbl>
    <w:p w:rsidR="00E35CE6" w:rsidRPr="00C57EEF" w:rsidRDefault="00E35CE6" w:rsidP="00E35CE6">
      <w:pPr>
        <w:spacing w:line="276" w:lineRule="auto"/>
        <w:jc w:val="both"/>
        <w:rPr>
          <w:rFonts w:ascii="TheSansOffice" w:hAnsi="TheSansOffice" w:cs="Tahoma"/>
          <w:bCs/>
          <w:sz w:val="18"/>
          <w:szCs w:val="18"/>
        </w:rPr>
      </w:pPr>
    </w:p>
    <w:p w:rsidR="00E35CE6" w:rsidRDefault="00E35CE6" w:rsidP="00E35CE6">
      <w:pPr>
        <w:pBdr>
          <w:bottom w:val="single" w:sz="4" w:space="1" w:color="auto"/>
        </w:pBdr>
        <w:spacing w:line="276" w:lineRule="auto"/>
        <w:jc w:val="both"/>
        <w:rPr>
          <w:rFonts w:ascii="TheSansOffice" w:hAnsi="TheSansOffice" w:cs="Tahoma"/>
          <w:b/>
          <w:bCs/>
          <w:iCs/>
          <w:sz w:val="18"/>
          <w:szCs w:val="18"/>
        </w:rPr>
      </w:pPr>
    </w:p>
    <w:p w:rsidR="00E35CE6" w:rsidRPr="00762ECE" w:rsidRDefault="00E35CE6" w:rsidP="00E35CE6">
      <w:pPr>
        <w:pStyle w:val="ListParagraph"/>
        <w:numPr>
          <w:ilvl w:val="0"/>
          <w:numId w:val="4"/>
        </w:numPr>
        <w:pBdr>
          <w:bottom w:val="single" w:sz="4" w:space="1" w:color="auto"/>
        </w:pBdr>
        <w:spacing w:line="276" w:lineRule="auto"/>
        <w:jc w:val="both"/>
        <w:rPr>
          <w:rFonts w:ascii="TheSansOffice" w:hAnsi="TheSansOffice" w:cs="Tahoma"/>
          <w:b/>
          <w:bCs/>
          <w:iCs/>
          <w:sz w:val="18"/>
          <w:szCs w:val="18"/>
        </w:rPr>
      </w:pPr>
      <w:r w:rsidRPr="00762ECE">
        <w:rPr>
          <w:rFonts w:ascii="TheSansOffice" w:hAnsi="TheSansOffice" w:cs="Tahoma"/>
          <w:b/>
          <w:bCs/>
          <w:iCs/>
          <w:sz w:val="18"/>
          <w:szCs w:val="18"/>
        </w:rPr>
        <w:t>PRE-EXISTING INJURY</w:t>
      </w:r>
    </w:p>
    <w:p w:rsidR="00E35CE6" w:rsidRDefault="00E35CE6" w:rsidP="00E35CE6">
      <w:pPr>
        <w:spacing w:line="276" w:lineRule="auto"/>
        <w:jc w:val="both"/>
        <w:rPr>
          <w:rFonts w:ascii="TheSansOffice" w:hAnsi="TheSansOffice"/>
          <w:b/>
          <w:color w:val="000000"/>
          <w:sz w:val="18"/>
          <w:szCs w:val="18"/>
        </w:rPr>
      </w:pPr>
    </w:p>
    <w:p w:rsidR="00E35CE6" w:rsidRDefault="00E35CE6" w:rsidP="00E35CE6">
      <w:pPr>
        <w:pStyle w:val="BodyTextIndent"/>
        <w:spacing w:line="276" w:lineRule="auto"/>
        <w:ind w:left="0" w:firstLine="0"/>
        <w:rPr>
          <w:rFonts w:ascii="TheSansOffice" w:hAnsi="TheSansOffice"/>
          <w:szCs w:val="18"/>
        </w:rPr>
      </w:pPr>
      <w:r w:rsidRPr="001136F3">
        <w:rPr>
          <w:rFonts w:ascii="TheSansOffice" w:hAnsi="TheSansOffice"/>
          <w:szCs w:val="18"/>
        </w:rPr>
        <w:t>Prior to any person being appointed to this position it will be required that they disclose full details of any pre-existing injuries or disease that might be affected by employment in this position.</w:t>
      </w:r>
    </w:p>
    <w:p w:rsidR="00E35CE6" w:rsidRPr="001136F3" w:rsidRDefault="00E35CE6" w:rsidP="00E35CE6">
      <w:pPr>
        <w:pStyle w:val="BodyTextIndent"/>
        <w:spacing w:line="276" w:lineRule="auto"/>
        <w:ind w:left="0" w:firstLine="0"/>
        <w:rPr>
          <w:rFonts w:ascii="TheSansOffice" w:hAnsi="TheSansOffice" w:cs="Arial"/>
          <w:szCs w:val="18"/>
        </w:rPr>
      </w:pPr>
    </w:p>
    <w:p w:rsidR="00E35CE6" w:rsidRPr="0026059F" w:rsidRDefault="00E35CE6" w:rsidP="00E35CE6">
      <w:pPr>
        <w:pStyle w:val="Heading1"/>
        <w:numPr>
          <w:ilvl w:val="0"/>
          <w:numId w:val="4"/>
        </w:numPr>
        <w:pBdr>
          <w:bottom w:val="single" w:sz="4" w:space="1" w:color="auto"/>
        </w:pBdr>
        <w:spacing w:after="120" w:line="276" w:lineRule="auto"/>
        <w:rPr>
          <w:rFonts w:ascii="TheSansOffice" w:hAnsi="TheSansOffice"/>
          <w:caps/>
          <w:sz w:val="18"/>
          <w:szCs w:val="18"/>
        </w:rPr>
      </w:pPr>
      <w:r w:rsidRPr="0026059F">
        <w:rPr>
          <w:rFonts w:ascii="TheSansOffice" w:hAnsi="TheSansOffice"/>
          <w:caps/>
          <w:sz w:val="18"/>
          <w:szCs w:val="18"/>
        </w:rPr>
        <w:t>Agreement</w:t>
      </w:r>
    </w:p>
    <w:p w:rsidR="00E35CE6" w:rsidRPr="000E6DD6" w:rsidRDefault="00E35CE6" w:rsidP="00E35CE6">
      <w:pPr>
        <w:tabs>
          <w:tab w:val="left" w:pos="1260"/>
          <w:tab w:val="right" w:pos="7380"/>
        </w:tabs>
        <w:spacing w:after="120" w:line="276" w:lineRule="auto"/>
        <w:rPr>
          <w:rFonts w:ascii="TheSansOffice" w:hAnsi="TheSansOffice" w:cs="Tahoma"/>
          <w:b/>
          <w:sz w:val="18"/>
          <w:szCs w:val="18"/>
        </w:rPr>
      </w:pPr>
      <w:r w:rsidRPr="000E6DD6">
        <w:rPr>
          <w:rFonts w:ascii="TheSansOffice" w:hAnsi="TheSansOffice" w:cs="Tahoma"/>
          <w:b/>
          <w:sz w:val="18"/>
          <w:szCs w:val="18"/>
        </w:rPr>
        <w:t>National Police Check:</w:t>
      </w:r>
    </w:p>
    <w:p w:rsidR="00E35CE6" w:rsidRPr="000E6DD6" w:rsidRDefault="00E35CE6" w:rsidP="00E35CE6">
      <w:pPr>
        <w:tabs>
          <w:tab w:val="left" w:pos="1260"/>
          <w:tab w:val="right" w:pos="7380"/>
        </w:tabs>
        <w:spacing w:after="120" w:line="276" w:lineRule="auto"/>
        <w:rPr>
          <w:rFonts w:ascii="TheSansOffice" w:hAnsi="TheSansOffice" w:cs="Tahoma"/>
          <w:sz w:val="18"/>
          <w:szCs w:val="18"/>
        </w:rPr>
      </w:pPr>
      <w:r w:rsidRPr="000E6DD6">
        <w:rPr>
          <w:rFonts w:ascii="TheSansOffice" w:hAnsi="TheSansOffice" w:cs="Arial"/>
          <w:sz w:val="18"/>
          <w:szCs w:val="18"/>
        </w:rPr>
        <w:t>I understand that it is a condition of my employment to provide SVHM with a current National Police Certificate PRIOR TO COMMENCING WORK and this is at my own cost.</w:t>
      </w:r>
    </w:p>
    <w:p w:rsidR="00E35CE6" w:rsidRDefault="00E35CE6" w:rsidP="00E35CE6">
      <w:pPr>
        <w:jc w:val="both"/>
        <w:rPr>
          <w:rFonts w:ascii="TheSansOffice" w:hAnsi="TheSansOffice" w:cs="Arial"/>
          <w:sz w:val="18"/>
          <w:szCs w:val="18"/>
        </w:rPr>
      </w:pPr>
      <w:r w:rsidRPr="000E6DD6">
        <w:rPr>
          <w:rFonts w:ascii="TheSansOffice" w:hAnsi="TheSansOffice" w:cs="Arial"/>
          <w:sz w:val="18"/>
          <w:szCs w:val="18"/>
        </w:rPr>
        <w:t xml:space="preserve">I understand that regardless of the frequency, if I am working and or visiting in a designated ‘high risk area’ of SVHM (as defined in the SVHA Pre-employment/Appointment Safety Checks Policy) I will be subject to periodic Police Checks every three years at my own cost. </w:t>
      </w:r>
    </w:p>
    <w:p w:rsidR="00E35CE6" w:rsidRDefault="00E35CE6" w:rsidP="00E35CE6">
      <w:pPr>
        <w:jc w:val="both"/>
        <w:rPr>
          <w:rFonts w:ascii="TheSansOffice" w:hAnsi="TheSansOffice" w:cs="Arial"/>
          <w:sz w:val="18"/>
          <w:szCs w:val="18"/>
        </w:rPr>
      </w:pPr>
    </w:p>
    <w:p w:rsidR="00E35CE6" w:rsidRPr="00533BE5" w:rsidRDefault="00E35CE6" w:rsidP="00E35CE6">
      <w:pPr>
        <w:jc w:val="both"/>
        <w:rPr>
          <w:rFonts w:ascii="TheSansOffice" w:hAnsi="TheSansOffice" w:cs="Arial"/>
          <w:b/>
          <w:sz w:val="18"/>
          <w:szCs w:val="18"/>
        </w:rPr>
      </w:pPr>
      <w:r w:rsidRPr="00533BE5">
        <w:rPr>
          <w:rFonts w:ascii="TheSansOffice" w:hAnsi="TheSansOffice" w:cs="Arial"/>
          <w:b/>
          <w:sz w:val="18"/>
          <w:szCs w:val="18"/>
        </w:rPr>
        <w:t>NDIS Clearance</w:t>
      </w:r>
      <w:r>
        <w:rPr>
          <w:rFonts w:ascii="TheSansOffice" w:hAnsi="TheSansOffice" w:cs="Arial"/>
          <w:b/>
          <w:sz w:val="18"/>
          <w:szCs w:val="18"/>
        </w:rPr>
        <w:t xml:space="preserve"> (if applicable):</w:t>
      </w:r>
    </w:p>
    <w:p w:rsidR="00E35CE6" w:rsidRDefault="00E35CE6" w:rsidP="00E35CE6">
      <w:pPr>
        <w:spacing w:before="100" w:beforeAutospacing="1" w:after="100" w:afterAutospacing="1"/>
        <w:rPr>
          <w:rFonts w:ascii="TheSansOffice" w:hAnsi="TheSansOffice" w:cs="Arial"/>
          <w:sz w:val="18"/>
          <w:szCs w:val="18"/>
        </w:rPr>
      </w:pPr>
      <w:r w:rsidRPr="002B2BB7">
        <w:rPr>
          <w:rFonts w:asciiTheme="minorHAnsi" w:hAnsiTheme="minorHAnsi" w:cstheme="minorHAnsi"/>
          <w:sz w:val="22"/>
          <w:szCs w:val="22"/>
        </w:rPr>
        <w:t xml:space="preserve">If </w:t>
      </w:r>
      <w:r w:rsidRPr="009D2CA5">
        <w:rPr>
          <w:rFonts w:ascii="TheSansOffice" w:hAnsi="TheSansOffice" w:cs="Arial"/>
          <w:sz w:val="18"/>
          <w:szCs w:val="18"/>
        </w:rPr>
        <w:t xml:space="preserve">you are working in a designated ‘Risk Assessed Role’ (as defined by the National Disability Insurance Scheme NDIS) regardless of frequency, you will be subject to periodic NDIS Worker Screening Checks every five years at your own cost. ‘Risk Assessed Roles’ are defined as (a) key personnel as defined in the </w:t>
      </w:r>
      <w:r w:rsidRPr="009D2CA5">
        <w:rPr>
          <w:rFonts w:ascii="TheSansOffice" w:hAnsi="TheSansOffice" w:cs="Arial"/>
          <w:i/>
          <w:iCs/>
          <w:sz w:val="18"/>
          <w:szCs w:val="18"/>
        </w:rPr>
        <w:t>National Disability Insurance Scheme Act 2013</w:t>
      </w:r>
      <w:r w:rsidRPr="009D2CA5">
        <w:rPr>
          <w:rFonts w:ascii="TheSansOffice" w:hAnsi="TheSansOffice" w:cs="Arial"/>
          <w:sz w:val="18"/>
          <w:szCs w:val="18"/>
        </w:rPr>
        <w:t>; (b) any role that directly delivers a set of specified supports or services in the</w:t>
      </w:r>
      <w:r w:rsidRPr="002B2BB7">
        <w:rPr>
          <w:rFonts w:asciiTheme="minorHAnsi" w:hAnsiTheme="minorHAnsi" w:cstheme="minorHAnsi"/>
          <w:sz w:val="22"/>
          <w:szCs w:val="22"/>
        </w:rPr>
        <w:t> </w:t>
      </w:r>
      <w:hyperlink r:id="rId7" w:history="1">
        <w:r w:rsidRPr="00533BE5">
          <w:rPr>
            <w:rStyle w:val="Hyperlink"/>
            <w:rFonts w:ascii="TheSansOffice" w:eastAsia="Lucida Sans" w:hAnsi="TheSansOffice" w:cstheme="minorHAnsi"/>
            <w:iCs/>
            <w:sz w:val="18"/>
            <w:szCs w:val="18"/>
          </w:rPr>
          <w:t>NDIS (Practice Standards – Worker Screening) Rules 2018</w:t>
        </w:r>
      </w:hyperlink>
      <w:r w:rsidRPr="00533BE5">
        <w:rPr>
          <w:rFonts w:ascii="TheSansOffice" w:hAnsi="TheSansOffice" w:cstheme="minorHAnsi"/>
          <w:iCs/>
          <w:sz w:val="18"/>
          <w:szCs w:val="18"/>
        </w:rPr>
        <w:t xml:space="preserve">; </w:t>
      </w:r>
      <w:r w:rsidRPr="002B2BB7">
        <w:rPr>
          <w:rFonts w:asciiTheme="minorHAnsi" w:hAnsiTheme="minorHAnsi" w:cstheme="minorHAnsi"/>
          <w:sz w:val="22"/>
          <w:szCs w:val="22"/>
        </w:rPr>
        <w:t>(c</w:t>
      </w:r>
      <w:r w:rsidRPr="009D2CA5">
        <w:rPr>
          <w:rFonts w:ascii="TheSansOffice" w:hAnsi="TheSansOffice" w:cs="Arial"/>
          <w:sz w:val="18"/>
          <w:szCs w:val="18"/>
        </w:rPr>
        <w:t>) any role where normal duties are likely to require ‘more than incidental contact’ with people with disability. The designation of ‘Risk Assessed Roles’ are subject to change, please refer to NDIS Practice Standards for further information.</w:t>
      </w:r>
    </w:p>
    <w:p w:rsidR="00E35CE6" w:rsidRPr="00533BE5" w:rsidRDefault="00E35CE6" w:rsidP="00E35CE6">
      <w:pPr>
        <w:spacing w:before="100" w:beforeAutospacing="1" w:after="100" w:afterAutospacing="1"/>
        <w:rPr>
          <w:rFonts w:ascii="TheSansOffice" w:hAnsi="TheSansOffice" w:cs="Arial"/>
          <w:b/>
          <w:sz w:val="18"/>
          <w:szCs w:val="18"/>
        </w:rPr>
      </w:pPr>
      <w:r w:rsidRPr="00533BE5">
        <w:rPr>
          <w:rFonts w:ascii="TheSansOffice" w:hAnsi="TheSansOffice" w:cs="Arial"/>
          <w:b/>
          <w:sz w:val="18"/>
          <w:szCs w:val="18"/>
        </w:rPr>
        <w:t xml:space="preserve">Required Immunisations: </w:t>
      </w:r>
    </w:p>
    <w:p w:rsidR="00E35CE6" w:rsidRPr="00533BE5" w:rsidRDefault="00E35CE6" w:rsidP="00E35CE6">
      <w:pPr>
        <w:rPr>
          <w:rFonts w:ascii="TheSansOffice" w:hAnsi="TheSansOffice" w:cs="Arial"/>
          <w:sz w:val="18"/>
          <w:szCs w:val="18"/>
        </w:rPr>
      </w:pPr>
      <w:r w:rsidRPr="00533BE5">
        <w:rPr>
          <w:rFonts w:ascii="TheSansOffice" w:hAnsi="TheSansOffice" w:cs="Arial"/>
          <w:sz w:val="18"/>
          <w:szCs w:val="18"/>
        </w:rPr>
        <w:t>Individuals who will be working in Category A positions will only be able to commence employment following assessment of their vaccination status. The decision to proceed with the commencement of employment will be at the discretion of the ICP in consultation with the Hiring Manager and may in some instances, require additional vaccinations to ensure full compliance with the SVHM Employee Health Screening and Immunisation Policy.</w:t>
      </w:r>
    </w:p>
    <w:p w:rsidR="00E35CE6" w:rsidRPr="00533BE5" w:rsidRDefault="00E35CE6" w:rsidP="00E35CE6">
      <w:pPr>
        <w:rPr>
          <w:rFonts w:ascii="TheSansOffice" w:hAnsi="TheSansOffice" w:cs="Arial"/>
          <w:sz w:val="18"/>
          <w:szCs w:val="18"/>
        </w:rPr>
      </w:pPr>
    </w:p>
    <w:p w:rsidR="00E35CE6" w:rsidRPr="00533BE5" w:rsidRDefault="00E35CE6" w:rsidP="00E35CE6">
      <w:pPr>
        <w:rPr>
          <w:rFonts w:ascii="TheSansOffice" w:hAnsi="TheSansOffice" w:cs="Arial"/>
          <w:sz w:val="18"/>
          <w:szCs w:val="18"/>
        </w:rPr>
      </w:pPr>
      <w:r w:rsidRPr="00533BE5">
        <w:rPr>
          <w:rFonts w:ascii="TheSansOffice" w:hAnsi="TheSansOffice" w:cs="Arial"/>
          <w:sz w:val="18"/>
          <w:szCs w:val="18"/>
        </w:rPr>
        <w:t xml:space="preserve">I understand that if additional vaccinations are required to comply with pre-employment prerequisites, this will be at my own cost. Where a state jurisdiction overrides this, the facility will bear the cost. </w:t>
      </w:r>
    </w:p>
    <w:p w:rsidR="00E35CE6" w:rsidRDefault="00E35CE6" w:rsidP="00E35CE6">
      <w:pPr>
        <w:jc w:val="both"/>
        <w:rPr>
          <w:rFonts w:ascii="TheSansOffice" w:hAnsi="TheSansOffice" w:cs="Arial"/>
          <w:sz w:val="18"/>
          <w:szCs w:val="18"/>
        </w:rPr>
      </w:pPr>
    </w:p>
    <w:p w:rsidR="00E35CE6" w:rsidRPr="000E6DD6" w:rsidRDefault="00E35CE6" w:rsidP="00E35CE6">
      <w:pPr>
        <w:jc w:val="both"/>
        <w:rPr>
          <w:rFonts w:ascii="TheSansOffice" w:hAnsi="TheSansOffice" w:cs="Arial"/>
          <w:sz w:val="18"/>
          <w:szCs w:val="18"/>
        </w:rPr>
      </w:pPr>
    </w:p>
    <w:p w:rsidR="00E35CE6" w:rsidRPr="00F42192" w:rsidRDefault="00E35CE6" w:rsidP="00E35CE6">
      <w:pPr>
        <w:spacing w:after="120" w:line="276" w:lineRule="auto"/>
        <w:jc w:val="both"/>
        <w:rPr>
          <w:rFonts w:ascii="TheSansOffice" w:hAnsi="TheSansOffice" w:cs="Tahoma"/>
          <w:b/>
          <w:bCs/>
          <w:sz w:val="18"/>
          <w:szCs w:val="18"/>
        </w:rPr>
      </w:pPr>
      <w:r w:rsidRPr="00F42192">
        <w:rPr>
          <w:rFonts w:ascii="TheSansOffice" w:hAnsi="TheSansOffice" w:cs="Tahoma"/>
          <w:b/>
          <w:bCs/>
          <w:sz w:val="18"/>
          <w:szCs w:val="18"/>
        </w:rPr>
        <w:t xml:space="preserve">I have read, understood and agree to comply with the responsibilities and accountabilities of this position description.  I agree to comply with all SVHM requirements, policies, procedures, by laws and directions. </w:t>
      </w:r>
    </w:p>
    <w:p w:rsidR="00E35CE6" w:rsidRDefault="00E35CE6" w:rsidP="00E35CE6">
      <w:pPr>
        <w:tabs>
          <w:tab w:val="left" w:pos="1260"/>
          <w:tab w:val="right" w:pos="7380"/>
        </w:tabs>
        <w:spacing w:after="120" w:line="276" w:lineRule="auto"/>
        <w:rPr>
          <w:rFonts w:ascii="TheSansOffice" w:hAnsi="TheSansOffice" w:cs="Tahoma"/>
          <w:sz w:val="18"/>
          <w:szCs w:val="18"/>
        </w:rPr>
      </w:pPr>
    </w:p>
    <w:p w:rsidR="00E35CE6" w:rsidRPr="0026059F" w:rsidRDefault="00E35CE6" w:rsidP="00E35CE6">
      <w:pPr>
        <w:tabs>
          <w:tab w:val="left" w:pos="1260"/>
          <w:tab w:val="right" w:pos="7380"/>
        </w:tabs>
        <w:spacing w:after="120" w:line="276" w:lineRule="auto"/>
        <w:rPr>
          <w:rFonts w:ascii="TheSansOffice" w:hAnsi="TheSansOffice" w:cs="Tahoma"/>
          <w:sz w:val="18"/>
          <w:szCs w:val="18"/>
          <w:u w:val="single"/>
        </w:rPr>
      </w:pPr>
      <w:r w:rsidRPr="0026059F">
        <w:rPr>
          <w:rFonts w:ascii="TheSansOffice" w:hAnsi="TheSansOffice" w:cs="Tahoma"/>
          <w:sz w:val="18"/>
          <w:szCs w:val="18"/>
        </w:rPr>
        <w:t>Name:</w:t>
      </w:r>
      <w:r w:rsidRPr="0026059F">
        <w:rPr>
          <w:rFonts w:ascii="TheSansOffice" w:hAnsi="TheSansOffice" w:cs="Tahoma"/>
          <w:sz w:val="18"/>
          <w:szCs w:val="18"/>
        </w:rPr>
        <w:tab/>
      </w:r>
      <w:r w:rsidRPr="0026059F">
        <w:rPr>
          <w:rFonts w:ascii="TheSansOffice" w:hAnsi="TheSansOffice" w:cs="Tahoma"/>
          <w:sz w:val="18"/>
          <w:szCs w:val="18"/>
          <w:u w:val="single"/>
        </w:rPr>
        <w:tab/>
      </w:r>
    </w:p>
    <w:p w:rsidR="00E35CE6" w:rsidRPr="0026059F" w:rsidRDefault="00E35CE6" w:rsidP="00E35CE6">
      <w:pPr>
        <w:tabs>
          <w:tab w:val="left" w:pos="1260"/>
          <w:tab w:val="right" w:pos="7380"/>
        </w:tabs>
        <w:spacing w:after="120" w:line="276" w:lineRule="auto"/>
        <w:rPr>
          <w:rFonts w:ascii="TheSansOffice" w:hAnsi="TheSansOffice" w:cs="Tahoma"/>
          <w:sz w:val="18"/>
          <w:szCs w:val="18"/>
        </w:rPr>
      </w:pPr>
    </w:p>
    <w:p w:rsidR="00E35CE6" w:rsidRPr="0026059F" w:rsidRDefault="00E35CE6" w:rsidP="00E35CE6">
      <w:pPr>
        <w:tabs>
          <w:tab w:val="left" w:pos="1260"/>
          <w:tab w:val="right" w:pos="7380"/>
        </w:tabs>
        <w:spacing w:after="120" w:line="276" w:lineRule="auto"/>
        <w:rPr>
          <w:rFonts w:ascii="TheSansOffice" w:hAnsi="TheSansOffice" w:cs="Tahoma"/>
          <w:sz w:val="18"/>
          <w:szCs w:val="18"/>
        </w:rPr>
      </w:pPr>
      <w:r w:rsidRPr="0026059F">
        <w:rPr>
          <w:rFonts w:ascii="TheSansOffice" w:hAnsi="TheSansOffice" w:cs="Tahoma"/>
          <w:sz w:val="18"/>
          <w:szCs w:val="18"/>
        </w:rPr>
        <w:t>Signature:</w:t>
      </w:r>
      <w:r w:rsidRPr="0026059F">
        <w:rPr>
          <w:rFonts w:ascii="TheSansOffice" w:hAnsi="TheSansOffice" w:cs="Tahoma"/>
          <w:sz w:val="18"/>
          <w:szCs w:val="18"/>
        </w:rPr>
        <w:tab/>
      </w:r>
      <w:r w:rsidRPr="0026059F">
        <w:rPr>
          <w:rFonts w:ascii="TheSansOffice" w:hAnsi="TheSansOffice" w:cs="Tahoma"/>
          <w:sz w:val="18"/>
          <w:szCs w:val="18"/>
          <w:u w:val="single"/>
        </w:rPr>
        <w:tab/>
      </w:r>
    </w:p>
    <w:p w:rsidR="00E35CE6" w:rsidRPr="0026059F" w:rsidRDefault="00E35CE6" w:rsidP="00E35CE6">
      <w:pPr>
        <w:tabs>
          <w:tab w:val="left" w:pos="1260"/>
          <w:tab w:val="right" w:pos="7380"/>
        </w:tabs>
        <w:spacing w:after="120" w:line="276" w:lineRule="auto"/>
        <w:rPr>
          <w:rFonts w:ascii="TheSansOffice" w:hAnsi="TheSansOffice" w:cs="Tahoma"/>
          <w:sz w:val="18"/>
          <w:szCs w:val="18"/>
        </w:rPr>
      </w:pPr>
    </w:p>
    <w:p w:rsidR="00B02091" w:rsidRPr="002B38B6" w:rsidRDefault="00E35CE6" w:rsidP="002B38B6">
      <w:pPr>
        <w:tabs>
          <w:tab w:val="left" w:pos="1260"/>
          <w:tab w:val="right" w:pos="7380"/>
          <w:tab w:val="right" w:pos="8280"/>
        </w:tabs>
        <w:spacing w:after="120" w:line="276" w:lineRule="auto"/>
        <w:rPr>
          <w:rFonts w:ascii="TheSansOffice" w:hAnsi="TheSansOffice" w:cs="Tahoma"/>
          <w:sz w:val="18"/>
          <w:szCs w:val="18"/>
        </w:rPr>
      </w:pPr>
      <w:r w:rsidRPr="0026059F">
        <w:rPr>
          <w:rFonts w:ascii="TheSansOffice" w:hAnsi="TheSansOffice" w:cs="Tahoma"/>
          <w:sz w:val="18"/>
          <w:szCs w:val="18"/>
        </w:rPr>
        <w:t>Date:</w:t>
      </w:r>
      <w:r w:rsidRPr="0026059F">
        <w:rPr>
          <w:rFonts w:ascii="TheSansOffice" w:hAnsi="TheSansOffice" w:cs="Tahoma"/>
          <w:sz w:val="18"/>
          <w:szCs w:val="18"/>
        </w:rPr>
        <w:tab/>
      </w:r>
      <w:r w:rsidRPr="0026059F">
        <w:rPr>
          <w:rFonts w:ascii="TheSansOffice" w:hAnsi="TheSansOffice" w:cs="Tahoma"/>
          <w:sz w:val="18"/>
          <w:szCs w:val="18"/>
          <w:u w:val="single"/>
        </w:rPr>
        <w:tab/>
      </w:r>
      <w:bookmarkEnd w:id="0"/>
    </w:p>
    <w:sectPr w:rsidR="00B02091" w:rsidRPr="002B38B6" w:rsidSect="00595E8B">
      <w:headerReference w:type="default" r:id="rId8"/>
      <w:footerReference w:type="even" r:id="rId9"/>
      <w:footerReference w:type="default" r:id="rId10"/>
      <w:pgSz w:w="11906" w:h="16838"/>
      <w:pgMar w:top="1523"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E23" w:rsidRDefault="00C40E23" w:rsidP="00E35CE6">
      <w:r>
        <w:separator/>
      </w:r>
    </w:p>
  </w:endnote>
  <w:endnote w:type="continuationSeparator" w:id="0">
    <w:p w:rsidR="00C40E23" w:rsidRDefault="00C40E23" w:rsidP="00E35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Office">
    <w:panose1 w:val="020B0503040302060204"/>
    <w:charset w:val="00"/>
    <w:family w:val="swiss"/>
    <w:pitch w:val="variable"/>
    <w:sig w:usb0="80000027" w:usb1="0000004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F32" w:rsidRDefault="002E4624" w:rsidP="00595E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834F32" w:rsidRDefault="00C40E23" w:rsidP="00595E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97E" w:rsidRPr="003A5986" w:rsidRDefault="002E4624" w:rsidP="004F497E">
    <w:pPr>
      <w:pStyle w:val="Footer"/>
      <w:pBdr>
        <w:top w:val="single" w:sz="4" w:space="1" w:color="3366FF"/>
      </w:pBdr>
      <w:tabs>
        <w:tab w:val="right" w:pos="9180"/>
      </w:tabs>
      <w:rPr>
        <w:rFonts w:ascii="TheSansOffice" w:hAnsi="TheSansOffice"/>
        <w:sz w:val="18"/>
        <w:szCs w:val="18"/>
      </w:rPr>
    </w:pPr>
    <w:r>
      <w:rPr>
        <w:rFonts w:ascii="TheSansOffice" w:hAnsi="TheSansOffice"/>
        <w:sz w:val="18"/>
        <w:szCs w:val="18"/>
      </w:rPr>
      <w:t xml:space="preserve">Non Clinical Managerial </w:t>
    </w:r>
  </w:p>
  <w:p w:rsidR="00834F32" w:rsidRPr="003A5986" w:rsidRDefault="002E4624" w:rsidP="004F497E">
    <w:pPr>
      <w:pStyle w:val="Footer"/>
      <w:pBdr>
        <w:top w:val="single" w:sz="4" w:space="1" w:color="3366FF"/>
      </w:pBdr>
      <w:tabs>
        <w:tab w:val="right" w:pos="9180"/>
      </w:tabs>
      <w:jc w:val="right"/>
      <w:rPr>
        <w:rStyle w:val="PageNumber"/>
        <w:rFonts w:ascii="TheSansOffice" w:hAnsi="TheSansOffice"/>
        <w:sz w:val="16"/>
        <w:szCs w:val="16"/>
      </w:rPr>
    </w:pPr>
    <w:r w:rsidRPr="003A5986">
      <w:rPr>
        <w:rFonts w:ascii="TheSansOffice" w:hAnsi="TheSansOffice"/>
        <w:sz w:val="16"/>
        <w:szCs w:val="16"/>
      </w:rPr>
      <w:t xml:space="preserve">Page </w:t>
    </w:r>
    <w:r w:rsidRPr="003A5986">
      <w:rPr>
        <w:rStyle w:val="PageNumber"/>
        <w:rFonts w:ascii="TheSansOffice" w:hAnsi="TheSansOffice"/>
        <w:sz w:val="16"/>
        <w:szCs w:val="16"/>
      </w:rPr>
      <w:fldChar w:fldCharType="begin"/>
    </w:r>
    <w:r w:rsidRPr="003A5986">
      <w:rPr>
        <w:rStyle w:val="PageNumber"/>
        <w:rFonts w:ascii="TheSansOffice" w:hAnsi="TheSansOffice"/>
        <w:sz w:val="16"/>
        <w:szCs w:val="16"/>
      </w:rPr>
      <w:instrText xml:space="preserve"> PAGE </w:instrText>
    </w:r>
    <w:r w:rsidRPr="003A5986">
      <w:rPr>
        <w:rStyle w:val="PageNumber"/>
        <w:rFonts w:ascii="TheSansOffice" w:hAnsi="TheSansOffice"/>
        <w:sz w:val="16"/>
        <w:szCs w:val="16"/>
      </w:rPr>
      <w:fldChar w:fldCharType="separate"/>
    </w:r>
    <w:r w:rsidR="00AF3A2A">
      <w:rPr>
        <w:rStyle w:val="PageNumber"/>
        <w:rFonts w:ascii="TheSansOffice" w:hAnsi="TheSansOffice"/>
        <w:noProof/>
        <w:sz w:val="16"/>
        <w:szCs w:val="16"/>
      </w:rPr>
      <w:t>6</w:t>
    </w:r>
    <w:r w:rsidRPr="003A5986">
      <w:rPr>
        <w:rStyle w:val="PageNumber"/>
        <w:rFonts w:ascii="TheSansOffice" w:hAnsi="TheSansOffice"/>
        <w:sz w:val="16"/>
        <w:szCs w:val="16"/>
      </w:rPr>
      <w:fldChar w:fldCharType="end"/>
    </w:r>
    <w:r w:rsidRPr="003A5986">
      <w:rPr>
        <w:rStyle w:val="PageNumber"/>
        <w:rFonts w:ascii="TheSansOffice" w:hAnsi="TheSansOffice"/>
        <w:sz w:val="16"/>
        <w:szCs w:val="16"/>
      </w:rPr>
      <w:t xml:space="preserve"> </w:t>
    </w:r>
  </w:p>
  <w:p w:rsidR="00834F32" w:rsidRPr="008E3551" w:rsidRDefault="00330B7D" w:rsidP="00595E8B">
    <w:pPr>
      <w:pStyle w:val="Footer"/>
      <w:tabs>
        <w:tab w:val="right" w:pos="9180"/>
      </w:tabs>
      <w:jc w:val="right"/>
      <w:rPr>
        <w:rFonts w:ascii="TheSansOffice" w:hAnsi="TheSansOffice"/>
        <w:sz w:val="16"/>
        <w:szCs w:val="16"/>
      </w:rPr>
    </w:pPr>
    <w:r>
      <w:rPr>
        <w:rFonts w:ascii="TheSansOffice" w:hAnsi="TheSansOffice"/>
        <w:sz w:val="16"/>
        <w:szCs w:val="16"/>
      </w:rPr>
      <w:t>Dec</w:t>
    </w:r>
    <w:r w:rsidR="002E4624" w:rsidRPr="003A5986">
      <w:rPr>
        <w:rFonts w:ascii="TheSansOffice" w:hAnsi="TheSansOffice"/>
        <w:sz w:val="16"/>
        <w:szCs w:val="16"/>
      </w:rPr>
      <w:t xml:space="preserve"> </w:t>
    </w:r>
    <w:r>
      <w:rPr>
        <w:rFonts w:ascii="TheSansOffice" w:hAnsi="TheSansOffice"/>
        <w:sz w:val="16"/>
        <w:szCs w:val="16"/>
      </w:rPr>
      <w:t>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E23" w:rsidRDefault="00C40E23" w:rsidP="00E35CE6">
      <w:r>
        <w:separator/>
      </w:r>
    </w:p>
  </w:footnote>
  <w:footnote w:type="continuationSeparator" w:id="0">
    <w:p w:rsidR="00C40E23" w:rsidRDefault="00C40E23" w:rsidP="00E35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F32" w:rsidRPr="00C84195" w:rsidRDefault="002E4624" w:rsidP="00595E8B">
    <w:pPr>
      <w:pStyle w:val="Header"/>
      <w:pBdr>
        <w:bottom w:val="single" w:sz="4" w:space="1" w:color="3366FF"/>
      </w:pBdr>
      <w:ind w:firstLine="1260"/>
      <w:jc w:val="right"/>
      <w:rPr>
        <w:rFonts w:ascii="TheSansOffice" w:hAnsi="TheSansOffice"/>
        <w:b/>
        <w:sz w:val="10"/>
        <w:szCs w:val="10"/>
      </w:rPr>
    </w:pPr>
    <w:r>
      <w:rPr>
        <w:noProof/>
        <w:lang w:eastAsia="en-AU"/>
      </w:rPr>
      <w:drawing>
        <wp:anchor distT="0" distB="0" distL="114300" distR="114300" simplePos="0" relativeHeight="251659264" behindDoc="1" locked="0" layoutInCell="1" allowOverlap="1" wp14:anchorId="029BFC84" wp14:editId="3532F66C">
          <wp:simplePos x="0" y="0"/>
          <wp:positionH relativeFrom="column">
            <wp:posOffset>-3175</wp:posOffset>
          </wp:positionH>
          <wp:positionV relativeFrom="paragraph">
            <wp:posOffset>-330835</wp:posOffset>
          </wp:positionV>
          <wp:extent cx="2374900" cy="724535"/>
          <wp:effectExtent l="0" t="0" r="6350" b="0"/>
          <wp:wrapTight wrapText="bothSides">
            <wp:wrapPolygon edited="0">
              <wp:start x="0" y="0"/>
              <wp:lineTo x="0" y="21013"/>
              <wp:lineTo x="21484" y="21013"/>
              <wp:lineTo x="2148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4900" cy="724535"/>
                  </a:xfrm>
                  <a:prstGeom prst="rect">
                    <a:avLst/>
                  </a:prstGeom>
                  <a:noFill/>
                </pic:spPr>
              </pic:pic>
            </a:graphicData>
          </a:graphic>
          <wp14:sizeRelH relativeFrom="page">
            <wp14:pctWidth>0</wp14:pctWidth>
          </wp14:sizeRelH>
          <wp14:sizeRelV relativeFrom="page">
            <wp14:pctHeight>0</wp14:pctHeight>
          </wp14:sizeRelV>
        </wp:anchor>
      </w:drawing>
    </w:r>
  </w:p>
  <w:p w:rsidR="00834F32" w:rsidRPr="0081679D" w:rsidRDefault="002E4624" w:rsidP="00595E8B">
    <w:pPr>
      <w:pStyle w:val="Header"/>
      <w:pBdr>
        <w:bottom w:val="single" w:sz="4" w:space="1" w:color="3366FF"/>
      </w:pBdr>
      <w:ind w:firstLine="1260"/>
      <w:jc w:val="right"/>
      <w:rPr>
        <w:rFonts w:ascii="TheSansOffice" w:hAnsi="TheSansOffice"/>
        <w:color w:val="000000"/>
        <w:sz w:val="16"/>
        <w:szCs w:val="16"/>
      </w:rPr>
    </w:pPr>
    <w:r w:rsidRPr="0081679D">
      <w:rPr>
        <w:rFonts w:ascii="TheSansOffice" w:hAnsi="TheSansOffice"/>
        <w:color w:val="000000"/>
        <w:sz w:val="16"/>
        <w:szCs w:val="16"/>
      </w:rPr>
      <w:t>Position Description</w:t>
    </w:r>
  </w:p>
  <w:p w:rsidR="00834F32" w:rsidRPr="00242658" w:rsidRDefault="002E4624" w:rsidP="00595E8B">
    <w:pPr>
      <w:pStyle w:val="Header"/>
      <w:pBdr>
        <w:bottom w:val="single" w:sz="4" w:space="1" w:color="3366FF"/>
      </w:pBdr>
      <w:tabs>
        <w:tab w:val="clear" w:pos="4153"/>
        <w:tab w:val="left" w:pos="1260"/>
      </w:tabs>
      <w:jc w:val="right"/>
      <w:rPr>
        <w:rFonts w:ascii="TheSansOffice" w:hAnsi="TheSansOffice"/>
        <w:color w:val="FF0000"/>
        <w:sz w:val="16"/>
        <w:szCs w:val="16"/>
      </w:rPr>
    </w:pPr>
    <w:r w:rsidRPr="0081679D">
      <w:rPr>
        <w:rFonts w:ascii="TheSansOffice" w:hAnsi="TheSansOffice"/>
        <w:color w:val="000000"/>
        <w:sz w:val="16"/>
        <w:szCs w:val="16"/>
      </w:rPr>
      <w:tab/>
    </w:r>
    <w:r w:rsidR="006253EA">
      <w:rPr>
        <w:rFonts w:ascii="TheSansOffice" w:hAnsi="TheSansOffice"/>
        <w:color w:val="FF0000"/>
        <w:sz w:val="16"/>
        <w:szCs w:val="16"/>
      </w:rPr>
      <w:t>Snr. Clinician</w:t>
    </w:r>
    <w:r w:rsidR="00A8344F" w:rsidRPr="00A8344F">
      <w:rPr>
        <w:rFonts w:ascii="TheSansOffice" w:hAnsi="TheSansOffice"/>
        <w:color w:val="FF0000"/>
        <w:sz w:val="16"/>
        <w:szCs w:val="16"/>
      </w:rPr>
      <w:t xml:space="preserve"> </w:t>
    </w:r>
    <w:r w:rsidR="003C5C79">
      <w:rPr>
        <w:rFonts w:ascii="TheSansOffice" w:hAnsi="TheSansOffice"/>
        <w:color w:val="FF0000"/>
        <w:sz w:val="16"/>
        <w:szCs w:val="16"/>
      </w:rPr>
      <w:t xml:space="preserve">– </w:t>
    </w:r>
    <w:r w:rsidR="00BC7A87">
      <w:rPr>
        <w:rFonts w:ascii="TheSansOffice" w:hAnsi="TheSansOffice"/>
        <w:color w:val="FF0000"/>
        <w:sz w:val="16"/>
        <w:szCs w:val="16"/>
      </w:rPr>
      <w:t xml:space="preserve">DoAM : </w:t>
    </w:r>
    <w:r w:rsidR="00E5415F">
      <w:rPr>
        <w:rFonts w:ascii="TheSansOffice" w:hAnsi="TheSansOffice"/>
        <w:color w:val="FF0000"/>
        <w:sz w:val="16"/>
        <w:szCs w:val="16"/>
      </w:rPr>
      <w:t>State-wide Addiction Partner Provider Initiative</w:t>
    </w:r>
  </w:p>
  <w:p w:rsidR="00834F32" w:rsidRDefault="00C40E23" w:rsidP="00595E8B">
    <w:pPr>
      <w:pStyle w:val="Header"/>
      <w:pBdr>
        <w:bottom w:val="single" w:sz="4" w:space="1" w:color="3366FF"/>
      </w:pBdr>
      <w:tabs>
        <w:tab w:val="clear" w:pos="4153"/>
        <w:tab w:val="left" w:pos="1260"/>
      </w:tabs>
      <w:rPr>
        <w:rFonts w:ascii="TheSansOffice" w:hAnsi="TheSansOffice"/>
        <w:color w:val="FF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F5393"/>
    <w:multiLevelType w:val="hybridMultilevel"/>
    <w:tmpl w:val="F4F85A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EF32D60"/>
    <w:multiLevelType w:val="hybridMultilevel"/>
    <w:tmpl w:val="6FF0D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306EBE"/>
    <w:multiLevelType w:val="hybridMultilevel"/>
    <w:tmpl w:val="E69ED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3D680D"/>
    <w:multiLevelType w:val="hybridMultilevel"/>
    <w:tmpl w:val="05A6F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8E2FAB"/>
    <w:multiLevelType w:val="hybridMultilevel"/>
    <w:tmpl w:val="C45468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D74749"/>
    <w:multiLevelType w:val="hybridMultilevel"/>
    <w:tmpl w:val="20CA3E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68920CD"/>
    <w:multiLevelType w:val="multilevel"/>
    <w:tmpl w:val="B8DEBC38"/>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309D38CF"/>
    <w:multiLevelType w:val="hybridMultilevel"/>
    <w:tmpl w:val="19226F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DF0C33"/>
    <w:multiLevelType w:val="hybridMultilevel"/>
    <w:tmpl w:val="67302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C722285"/>
    <w:multiLevelType w:val="hybridMultilevel"/>
    <w:tmpl w:val="2774F6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07A5A2A"/>
    <w:multiLevelType w:val="hybridMultilevel"/>
    <w:tmpl w:val="AEC403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B70514F"/>
    <w:multiLevelType w:val="hybridMultilevel"/>
    <w:tmpl w:val="0A0A6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CDE762B"/>
    <w:multiLevelType w:val="hybridMultilevel"/>
    <w:tmpl w:val="43488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FC9474B"/>
    <w:multiLevelType w:val="hybridMultilevel"/>
    <w:tmpl w:val="BCA20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933617D"/>
    <w:multiLevelType w:val="hybridMultilevel"/>
    <w:tmpl w:val="7CC4F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D741A52"/>
    <w:multiLevelType w:val="hybridMultilevel"/>
    <w:tmpl w:val="F6F24F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14"/>
  </w:num>
  <w:num w:numId="4">
    <w:abstractNumId w:val="6"/>
  </w:num>
  <w:num w:numId="5">
    <w:abstractNumId w:val="11"/>
  </w:num>
  <w:num w:numId="6">
    <w:abstractNumId w:val="15"/>
  </w:num>
  <w:num w:numId="7">
    <w:abstractNumId w:val="9"/>
  </w:num>
  <w:num w:numId="8">
    <w:abstractNumId w:val="8"/>
  </w:num>
  <w:num w:numId="9">
    <w:abstractNumId w:val="13"/>
  </w:num>
  <w:num w:numId="10">
    <w:abstractNumId w:val="12"/>
  </w:num>
  <w:num w:numId="11">
    <w:abstractNumId w:val="7"/>
  </w:num>
  <w:num w:numId="12">
    <w:abstractNumId w:val="4"/>
  </w:num>
  <w:num w:numId="13">
    <w:abstractNumId w:val="3"/>
  </w:num>
  <w:num w:numId="14">
    <w:abstractNumId w:val="5"/>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9A7"/>
    <w:rsid w:val="00050481"/>
    <w:rsid w:val="000A0E97"/>
    <w:rsid w:val="00121A68"/>
    <w:rsid w:val="00197D3C"/>
    <w:rsid w:val="002436C3"/>
    <w:rsid w:val="002543CD"/>
    <w:rsid w:val="002B38B6"/>
    <w:rsid w:val="002E4624"/>
    <w:rsid w:val="0032438A"/>
    <w:rsid w:val="00330B7D"/>
    <w:rsid w:val="003C5C79"/>
    <w:rsid w:val="00403ADA"/>
    <w:rsid w:val="0049567F"/>
    <w:rsid w:val="004D680D"/>
    <w:rsid w:val="00571E1B"/>
    <w:rsid w:val="005D67DA"/>
    <w:rsid w:val="005F69A7"/>
    <w:rsid w:val="006164B7"/>
    <w:rsid w:val="006253EA"/>
    <w:rsid w:val="00681CF8"/>
    <w:rsid w:val="0068304B"/>
    <w:rsid w:val="006C1A8B"/>
    <w:rsid w:val="007C7071"/>
    <w:rsid w:val="00831B8A"/>
    <w:rsid w:val="00883D69"/>
    <w:rsid w:val="0093205A"/>
    <w:rsid w:val="00A173A7"/>
    <w:rsid w:val="00A23583"/>
    <w:rsid w:val="00A8344F"/>
    <w:rsid w:val="00AF3A2A"/>
    <w:rsid w:val="00B05471"/>
    <w:rsid w:val="00B46FBF"/>
    <w:rsid w:val="00BC7A87"/>
    <w:rsid w:val="00C3667F"/>
    <w:rsid w:val="00C40E23"/>
    <w:rsid w:val="00CD1844"/>
    <w:rsid w:val="00CE0D7C"/>
    <w:rsid w:val="00DD3A3A"/>
    <w:rsid w:val="00E35CE6"/>
    <w:rsid w:val="00E5415F"/>
    <w:rsid w:val="00E927A2"/>
    <w:rsid w:val="00F57E1A"/>
    <w:rsid w:val="00FE17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164113-41C5-47D3-9015-149A51E1F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CE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35CE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5CE6"/>
    <w:rPr>
      <w:rFonts w:ascii="Arial" w:eastAsia="Times New Roman" w:hAnsi="Arial" w:cs="Arial"/>
      <w:b/>
      <w:bCs/>
      <w:kern w:val="32"/>
      <w:sz w:val="32"/>
      <w:szCs w:val="32"/>
    </w:rPr>
  </w:style>
  <w:style w:type="paragraph" w:styleId="BodyTextIndent">
    <w:name w:val="Body Text Indent"/>
    <w:basedOn w:val="Normal"/>
    <w:link w:val="BodyTextIndentChar"/>
    <w:rsid w:val="00E35CE6"/>
    <w:pPr>
      <w:tabs>
        <w:tab w:val="left" w:pos="3261"/>
      </w:tabs>
      <w:ind w:left="3260" w:hanging="3260"/>
      <w:jc w:val="both"/>
    </w:pPr>
    <w:rPr>
      <w:rFonts w:ascii="Tahoma" w:hAnsi="Tahoma" w:cs="Tahoma"/>
      <w:sz w:val="18"/>
      <w:lang w:val="en-US"/>
    </w:rPr>
  </w:style>
  <w:style w:type="character" w:customStyle="1" w:styleId="BodyTextIndentChar">
    <w:name w:val="Body Text Indent Char"/>
    <w:basedOn w:val="DefaultParagraphFont"/>
    <w:link w:val="BodyTextIndent"/>
    <w:rsid w:val="00E35CE6"/>
    <w:rPr>
      <w:rFonts w:ascii="Tahoma" w:eastAsia="Times New Roman" w:hAnsi="Tahoma" w:cs="Tahoma"/>
      <w:sz w:val="18"/>
      <w:szCs w:val="24"/>
      <w:lang w:val="en-US"/>
    </w:rPr>
  </w:style>
  <w:style w:type="paragraph" w:styleId="Header">
    <w:name w:val="header"/>
    <w:basedOn w:val="Normal"/>
    <w:link w:val="HeaderChar"/>
    <w:rsid w:val="00E35CE6"/>
    <w:pPr>
      <w:tabs>
        <w:tab w:val="center" w:pos="4153"/>
        <w:tab w:val="right" w:pos="8306"/>
      </w:tabs>
    </w:pPr>
  </w:style>
  <w:style w:type="character" w:customStyle="1" w:styleId="HeaderChar">
    <w:name w:val="Header Char"/>
    <w:basedOn w:val="DefaultParagraphFont"/>
    <w:link w:val="Header"/>
    <w:rsid w:val="00E35CE6"/>
    <w:rPr>
      <w:rFonts w:ascii="Times New Roman" w:eastAsia="Times New Roman" w:hAnsi="Times New Roman" w:cs="Times New Roman"/>
      <w:sz w:val="24"/>
      <w:szCs w:val="24"/>
    </w:rPr>
  </w:style>
  <w:style w:type="paragraph" w:styleId="Footer">
    <w:name w:val="footer"/>
    <w:basedOn w:val="Normal"/>
    <w:link w:val="FooterChar"/>
    <w:rsid w:val="00E35CE6"/>
    <w:pPr>
      <w:tabs>
        <w:tab w:val="center" w:pos="4153"/>
        <w:tab w:val="right" w:pos="8306"/>
      </w:tabs>
    </w:pPr>
  </w:style>
  <w:style w:type="character" w:customStyle="1" w:styleId="FooterChar">
    <w:name w:val="Footer Char"/>
    <w:basedOn w:val="DefaultParagraphFont"/>
    <w:link w:val="Footer"/>
    <w:rsid w:val="00E35CE6"/>
    <w:rPr>
      <w:rFonts w:ascii="Times New Roman" w:eastAsia="Times New Roman" w:hAnsi="Times New Roman" w:cs="Times New Roman"/>
      <w:sz w:val="24"/>
      <w:szCs w:val="24"/>
    </w:rPr>
  </w:style>
  <w:style w:type="character" w:styleId="PageNumber">
    <w:name w:val="page number"/>
    <w:basedOn w:val="DefaultParagraphFont"/>
    <w:rsid w:val="00E35CE6"/>
  </w:style>
  <w:style w:type="paragraph" w:styleId="ListParagraph">
    <w:name w:val="List Paragraph"/>
    <w:basedOn w:val="Normal"/>
    <w:uiPriority w:val="34"/>
    <w:qFormat/>
    <w:rsid w:val="00E35CE6"/>
    <w:pPr>
      <w:ind w:left="720"/>
      <w:contextualSpacing/>
    </w:pPr>
  </w:style>
  <w:style w:type="paragraph" w:customStyle="1" w:styleId="Default">
    <w:name w:val="Default"/>
    <w:basedOn w:val="Normal"/>
    <w:rsid w:val="00E35CE6"/>
    <w:pPr>
      <w:autoSpaceDE w:val="0"/>
      <w:autoSpaceDN w:val="0"/>
    </w:pPr>
    <w:rPr>
      <w:rFonts w:ascii="Arial" w:eastAsiaTheme="minorHAnsi" w:hAnsi="Arial" w:cs="Arial"/>
      <w:color w:val="000000"/>
      <w:lang w:eastAsia="en-AU"/>
    </w:rPr>
  </w:style>
  <w:style w:type="table" w:styleId="TableGrid">
    <w:name w:val="Table Grid"/>
    <w:basedOn w:val="TableNormal"/>
    <w:uiPriority w:val="59"/>
    <w:rsid w:val="00E35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35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5CE6"/>
    <w:rPr>
      <w:color w:val="0563C1" w:themeColor="hyperlink"/>
      <w:u w:val="single"/>
    </w:rPr>
  </w:style>
  <w:style w:type="paragraph" w:styleId="BodyText2">
    <w:name w:val="Body Text 2"/>
    <w:basedOn w:val="Normal"/>
    <w:link w:val="BodyText2Char"/>
    <w:uiPriority w:val="99"/>
    <w:unhideWhenUsed/>
    <w:rsid w:val="00E35CE6"/>
    <w:pPr>
      <w:spacing w:after="120" w:line="480" w:lineRule="auto"/>
    </w:pPr>
  </w:style>
  <w:style w:type="character" w:customStyle="1" w:styleId="BodyText2Char">
    <w:name w:val="Body Text 2 Char"/>
    <w:basedOn w:val="DefaultParagraphFont"/>
    <w:link w:val="BodyText2"/>
    <w:uiPriority w:val="99"/>
    <w:rsid w:val="00E35CE6"/>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2436C3"/>
    <w:pPr>
      <w:spacing w:after="120"/>
    </w:pPr>
  </w:style>
  <w:style w:type="character" w:customStyle="1" w:styleId="BodyTextChar">
    <w:name w:val="Body Text Char"/>
    <w:basedOn w:val="DefaultParagraphFont"/>
    <w:link w:val="BodyText"/>
    <w:uiPriority w:val="99"/>
    <w:semiHidden/>
    <w:rsid w:val="002436C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discommission.gov.au/document/89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2729</Words>
  <Characters>15561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SVHA</Company>
  <LinksUpToDate>false</LinksUpToDate>
  <CharactersWithSpaces>18254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Nha Nguyen - SVHM</dc:creator>
  <cp:keywords/>
  <dc:description/>
  <cp:lastModifiedBy>Rebecca Smyth - SVHM</cp:lastModifiedBy>
  <cp:revision>2</cp:revision>
  <dcterms:created xsi:type="dcterms:W3CDTF">2023-01-29T22:07:00Z</dcterms:created>
  <dcterms:modified xsi:type="dcterms:W3CDTF">2023-01-29T22:07:00Z</dcterms:modified>
</cp:coreProperties>
</file>